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W29 (07-13 ~ 07-17)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2026-07-17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2026-07-17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금주 사업 현황: 예산 집행률 42.52%, WBS 공정률 65.5%. 기간 소진율(85.3%) 대비 집행률 격차가 43%p로 집중 관리 필요. 잔여 D-167일.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42.52%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65.5%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85.3%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D-167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102.1억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106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960일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167일 (6개월)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BMS/WBS 데이터 자동 동기화 운영 중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포털 v4.2 실시간 현행화 완료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Actions 기반 30분 자동 갱신 정상 가동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총 240억 중 102.1억 집행(42.52%). 기간 소진율(85.3%) 대비 43%p 부족. 잔여 0.0억을 6개월 내 집행해야 하므로 월평균 0.0억 집행 필요.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4.58억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61.2%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0.4억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68.8%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44.0%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23.49억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75.8억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45.7%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0.9%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63.3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53.7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84.8%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106건(61%), 지연 11건. 서비스 구축(가중치 63%) 실적 59%로 전체 공정률에 가장 큰 영향.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106건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49건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9건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60.6%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98%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81%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81%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84%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-25%p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[7]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 격차 43%p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소진율(85.3%) 대비 집행률(42.52%)이 43%p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미집행 대형 사업 조속 발주 및 선급금 집행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#4 디지털 OASIS SPOT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42.00억 중 집행률 0.9%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#8 DRT 수요응답형 교통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10.00억 중 집행률 0.0%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10건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 작업 다수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정보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잔여기간 D-167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종료까지 약 6개월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준공 로드맵 점검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대형사업 발주 진행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WBS 지연 작업 만회 계획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 및 보고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대형 사업(OASIS SPOT, DRT 등)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 (여비→운영비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일정 역산 기반 마일스톤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(10건)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-60%p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[4.2.2] 선정사와 협의를 통한 상세설계(아키텍처,서비스 시나리오, 인터페이스 정의)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[3.2.1.4] 수요응답형 모빌리티 DRT 서비스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나라장터 발주 지원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W29 (07-13 ~ 07-17)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2026-07-17T09:58:57.937Z</dcterms:created>
  <dcterms:modified xsi:type="dcterms:W3CDTF">2026-07-17T09:58:57.937Z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