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0"/>
          <w:szCs w:val="40"/>
        </w:rPr>
        <w:t xml:space="preserve">아산시 강소형 스마트시티 조성사업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52"/>
          <w:szCs w:val="52"/>
        </w:rPr>
        <w:t xml:space="preserve">주간 진도 보고서</w:t>
      </w:r>
    </w:p>
    <w:p>
      <w:pPr>
        <w:spacing w:before="400"/>
        <w:jc w:val="center"/>
      </w:pPr>
      <w:r>
        <w:rPr>
          <w:rFonts w:ascii="맑은 고딕" w:cs="맑은 고딕" w:eastAsia="맑은 고딕" w:hAnsi="맑은 고딕"/>
          <w:color w:val="666666"/>
          <w:sz w:val="28"/>
          <w:szCs w:val="28"/>
        </w:rPr>
        <w:t xml:space="preserve">W22 (05-25 ~ 05-29)</w:t>
      </w:r>
    </w:p>
    <w:p>
      <w:pPr>
        <w:spacing w:before="100"/>
        <w:jc w:val="center"/>
      </w:pPr>
      <w:r>
        <w:rPr>
          <w:rFonts w:ascii="맑은 고딕" w:cs="맑은 고딕" w:eastAsia="맑은 고딕" w:hAnsi="맑은 고딕"/>
          <w:color w:val="999999"/>
          <w:sz w:val="20"/>
          <w:szCs w:val="20"/>
        </w:rPr>
        <w:t xml:space="preserve">작성일: 2026-05-29  |  AI 분석: Claude Sonnet</w:t>
      </w:r>
    </w:p>
    <w:p>
      <w:pPr>
        <w:spacing w:before="1200"/>
        <w:jc w:val="center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제일엔지니어링 PMO팀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Executive Summary</w:t>
      </w:r>
    </w:p>
    <w:p>
      <w:pPr>
        <w:shd w:fill="FFF3CD" w:val="clear"/>
        <w:spacing w:after="120" w:before="80"/>
      </w:pPr>
      <w:r>
        <w:rPr>
          <w:rFonts w:ascii="맑은 고딕" w:cs="맑은 고딕" w:eastAsia="맑은 고딕" w:hAnsi="맑은 고딕"/>
          <w:b/>
          <w:bCs/>
          <w:color w:val="856404"/>
          <w:sz w:val="18"/>
          <w:szCs w:val="18"/>
        </w:rPr>
        <w:t xml:space="preserve">🤖 AI 분석 기반 요약</w:t>
      </w:r>
      <w:r>
        <w:rPr>
          <w:rFonts w:ascii="맑은 고딕" w:cs="맑은 고딕" w:eastAsia="맑은 고딕" w:hAnsi="맑은 고딕"/>
          <w:color w:val="856404"/>
          <w:sz w:val="16"/>
          <w:szCs w:val="16"/>
        </w:rPr>
        <w:t xml:space="preserve">  |  2026-05-29 기준 데이터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금주 사업 현황: 예산 집행률 42.08%, WBS 공정률 59.2%. 기간 소진율(80.9%) 대비 집행률 격차가 39%p로 집중 관리 필요. 잔여 D-216일.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 집행률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WBS 공정률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 소진율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D-Day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42.08%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59.2%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80.9%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D-216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101.0억 / 240억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완료 98 / 175건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911일 / 1126일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잔여 216일 (7개월)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금주 주요 성과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BMS/WBS 데이터 자동 동기화 운영 중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통합 포털 v4.2 실시간 현행화 완료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GitHub Actions 기반 30분 자동 갱신 정상 가동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예산 집행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총 240억 중 101.0억 집행(42.08%). 기간 소진율(80.9%) 대비 39%p 부족. 잔여 0.0억을 7개월 내 집행해야 하므로 월평균 0.0억 집행 필요.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2-1. 비목별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잔액(억)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인건비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19.02억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4.48억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59.8%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여비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0.85억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0.5억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65.2%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연구개발비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유형자산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0.16억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6.1억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무형자산(SW)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90.1억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38.25억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51.8억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42.5%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건설비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23.23억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76.1억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23.4%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사업비배분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2-2. 단위사업별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500"/>
        <w:gridCol w:w="1500"/>
        <w:gridCol w:w="1200"/>
        <w:gridCol w:w="1526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유무선 네트워크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7.35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2.69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36.6%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모바일 전자시민증(ECC)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39.50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18.03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21.5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45.7%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이노베이션 센터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SPOT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41.9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0.4%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SDDC Platform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7.09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26.3%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통합관제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9.29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58.1%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정보관리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22.60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10.93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48.4%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DRT 수요응답형 교통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감리용역 (신설)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스마트폴&amp;디스플레이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메타버스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노마드(NOP)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융복합 서비스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디지털링크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공통경비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63.5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52.8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83.1%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WBS 공정률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전체 175건 중 완료 98건(56%), 지연 11건. 서비스 구축(가중치 63%) 실적 49%로 전체 공정률에 가장 큰 영향.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6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진행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달성률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175건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98건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57건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11건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9건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56%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500"/>
        <w:gridCol w:w="1500"/>
        <w:gridCol w:w="16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가중치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계획(%)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실적(%)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편차(%p)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[2] 실시설계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99%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[3] 나라장터 발주 지원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97%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-3%p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[1] 프로젝트 관리/거버넌스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[4] 서비스 구축(앱/웹/플랫폼) 구축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57%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49%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-8%p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[7] 구축 완료 후 운영(3년)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+40%p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[6] 준공·검수·인수인계·이관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[5] 통합시험·시범운영·안정화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리스크 분석 (AI)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200"/>
        <w:gridCol w:w="2326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긴급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예산 집행률 격차 39%p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소진율(80.9%) 대비 집행률(42.08%)이 39%p 부족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미집행 대형 사업 조속 발주 및 선급금 집행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#4 디지털 OASIS SPOT 미집행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42.00억 중 집행률 0.4%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 일정 확인 및 집행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#8 DRT 수요응답형 교통 미집행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10.00억 중 집행률 0.0%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 일정 확인 및 집행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WBS 지연 10건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계획 대비 실적 미달 작업 다수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지연 원인 분석 및 만회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정보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잔여기간 D-216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사업 종료까지 약 7개월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준공 로드맵 점검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차주 핵심 과제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미착수 대형사업 발주 진행 점검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WBS 지연 작업 만회 계획 수립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월간 집행 실적 점검 및 보고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PMO 권고사항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미집행 대형 사업(OASIS SPOT, DRT 등) 발주 가속화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비목간 전용 검토 (여비→운영비 등)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준공 일정 역산 기반 마일스톤 재설정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[부록] WBS 지연 작업 (10건)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500"/>
        <w:gridCol w:w="152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작업명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대분류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[5.5] 시범운영(Pilot) 및 안정화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[5.4] 교육·매뉴얼·운영절차 수립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[5.3] 데이터 초기구축/검수/이관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[5.2] 성능/보안 테스트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[5.1] 통합 테스트(기능/연계)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[4.11.3]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[4.10.3]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[4.9.3] AI시티관제 플랫폼 연계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[4.2.2] 선정사와 협의를 통한 상세설계(아키텍처,서비스 시나리오, 인터페이스 정의)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[3.2.1.4] 수요응답형 모빌리티 DRT 서비스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나라장터 발주 지원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-80%p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제일엔지니어링 PMO |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스마트시티 | 주간 보고서 W22 (05-25 ~ 05-29)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2026-05-29T11:31:32.930Z</dcterms:created>
  <dcterms:modified xsi:type="dcterms:W3CDTF">2026-05-29T11:31:32.930Z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