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jc w:val="center"/>
      </w:pPr>
      <w:r>
        <w:rPr>
          <w:rFonts w:ascii="맑은 고딕" w:cs="맑은 고딕" w:eastAsia="맑은 고딕" w:hAnsi="맑은 고딕"/>
          <w:b/>
          <w:bCs/>
          <w:color w:val="1B3A5C"/>
          <w:sz w:val="40"/>
          <w:szCs w:val="40"/>
        </w:rPr>
        <w:t xml:space="preserve">아산시 강소형 스마트시티 조성사업</w:t>
      </w:r>
    </w:p>
    <w:p>
      <w:pPr>
        <w:spacing w:before="200"/>
        <w:jc w:val="center"/>
      </w:pPr>
      <w:r>
        <w:rPr>
          <w:rFonts w:ascii="맑은 고딕" w:cs="맑은 고딕" w:eastAsia="맑은 고딕" w:hAnsi="맑은 고딕"/>
          <w:b/>
          <w:bCs/>
          <w:color w:val="1B3A5C"/>
          <w:sz w:val="52"/>
          <w:szCs w:val="52"/>
        </w:rPr>
        <w:t xml:space="preserve">주간 진도 보고서</w:t>
      </w:r>
    </w:p>
    <w:p>
      <w:pPr>
        <w:spacing w:before="400"/>
        <w:jc w:val="center"/>
      </w:pPr>
      <w:r>
        <w:rPr>
          <w:rFonts w:ascii="맑은 고딕" w:cs="맑은 고딕" w:eastAsia="맑은 고딕" w:hAnsi="맑은 고딕"/>
          <w:color w:val="666666"/>
          <w:sz w:val="28"/>
          <w:szCs w:val="28"/>
        </w:rPr>
        <w:t xml:space="preserve">W40 (09-28 ~ 10-02)</w:t>
      </w:r>
    </w:p>
    <w:p>
      <w:pPr>
        <w:spacing w:before="100"/>
        <w:jc w:val="center"/>
      </w:pPr>
      <w:r>
        <w:rPr>
          <w:rFonts w:ascii="맑은 고딕" w:cs="맑은 고딕" w:eastAsia="맑은 고딕" w:hAnsi="맑은 고딕"/>
          <w:color w:val="999999"/>
          <w:sz w:val="20"/>
          <w:szCs w:val="20"/>
        </w:rPr>
        <w:t xml:space="preserve">작성일: 2026-10-02  |  AI 분석: Claude Sonnet</w:t>
      </w:r>
    </w:p>
    <w:p>
      <w:pPr>
        <w:spacing w:before="1200"/>
        <w:jc w:val="center"/>
      </w:pPr>
      <w:r>
        <w:rPr>
          <w:rFonts w:ascii="맑은 고딕" w:cs="맑은 고딕" w:eastAsia="맑은 고딕" w:hAnsi="맑은 고딕"/>
          <w:color w:val="444444"/>
          <w:sz w:val="24"/>
          <w:szCs w:val="24"/>
        </w:rPr>
        <w:t xml:space="preserve">제일엔지니어링 PMO팀</w:t>
      </w:r>
    </w:p>
    <w:p>
      <w:r>
        <w:br w:type="page"/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Executive Summary</w:t>
      </w:r>
    </w:p>
    <w:p>
      <w:pPr>
        <w:shd w:fill="FFF3CD" w:val="clear"/>
        <w:spacing w:after="120" w:before="80"/>
      </w:pPr>
      <w:r>
        <w:rPr>
          <w:rFonts w:ascii="맑은 고딕" w:cs="맑은 고딕" w:eastAsia="맑은 고딕" w:hAnsi="맑은 고딕"/>
          <w:b/>
          <w:bCs/>
          <w:color w:val="856404"/>
          <w:sz w:val="18"/>
          <w:szCs w:val="18"/>
        </w:rPr>
        <w:t xml:space="preserve">🤖 AI 분석 기반 요약</w:t>
      </w:r>
      <w:r>
        <w:rPr>
          <w:rFonts w:ascii="맑은 고딕" w:cs="맑은 고딕" w:eastAsia="맑은 고딕" w:hAnsi="맑은 고딕"/>
          <w:color w:val="856404"/>
          <w:sz w:val="16"/>
          <w:szCs w:val="16"/>
        </w:rPr>
        <w:t xml:space="preserve">  |  2026-10-02 기준 데이터</w:t>
      </w:r>
    </w:p>
    <w:p>
      <w:pPr>
        <w:spacing w:after="200"/>
      </w:pPr>
      <w:r>
        <w:rPr>
          <w:rFonts w:ascii="맑은 고딕" w:cs="맑은 고딕" w:eastAsia="맑은 고딕" w:hAnsi="맑은 고딕"/>
          <w:sz w:val="20"/>
          <w:szCs w:val="20"/>
        </w:rPr>
        <w:t xml:space="preserve">금주 사업 현황: 예산 집행률 45.66%, WBS 공정률 79.1%. 기간 소진율(92.1%) 대비 집행률 격차가 46%p로 집중 관리 필요. 잔여 D-90일.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8"/>
        <w:gridCol w:w="2256"/>
      </w:tblGrid>
      <w:tr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예산 집행률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WBS 공정률</w:t>
            </w:r>
          </w:p>
        </w:tc>
        <w:tc>
          <w:tcPr>
            <w:tcW w:type="dxa" w:w="225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기간 소진율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D-Day</w:t>
            </w:r>
          </w:p>
        </w:tc>
      </w:tr>
      <w:tr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75B6"/>
                <w:sz w:val="18"/>
                <w:szCs w:val="18"/>
              </w:rPr>
              <w:t xml:space="preserve">45.66%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7030A0"/>
                <w:sz w:val="18"/>
                <w:szCs w:val="18"/>
              </w:rPr>
              <w:t xml:space="preserve">79.1%</w:t>
            </w:r>
          </w:p>
        </w:tc>
        <w:tc>
          <w:tcPr>
            <w:tcW w:type="dxa" w:w="225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D7D31"/>
                <w:sz w:val="18"/>
                <w:szCs w:val="18"/>
              </w:rPr>
              <w:t xml:space="preserve">92.1%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D-90</w:t>
            </w:r>
          </w:p>
        </w:tc>
      </w:tr>
      <w:tr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109.6억 / 240억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완료 116 / 175건</w:t>
            </w:r>
          </w:p>
        </w:tc>
        <w:tc>
          <w:tcPr>
            <w:tcW w:type="dxa" w:w="225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1037일 / 1126일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잔여 90일 (3개월)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1. 금주 주요 성과</w:t>
      </w:r>
    </w:p>
    <w:p>
      <w:pPr>
        <w:pStyle w:val="ListParagraph"/>
        <w:numPr>
          <w:ilvl w:val="0"/>
          <w:numId w:val="2"/>
        </w:numPr>
        <w:spacing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BMS/WBS 데이터 자동 동기화 운영 중</w:t>
      </w:r>
    </w:p>
    <w:p>
      <w:pPr>
        <w:pStyle w:val="ListParagraph"/>
        <w:numPr>
          <w:ilvl w:val="0"/>
          <w:numId w:val="2"/>
        </w:numPr>
        <w:spacing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통합 포털 v4.2 실시간 현행화 완료</w:t>
      </w:r>
    </w:p>
    <w:p>
      <w:pPr>
        <w:pStyle w:val="ListParagraph"/>
        <w:numPr>
          <w:ilvl w:val="0"/>
          <w:numId w:val="2"/>
        </w:numPr>
        <w:spacing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GitHub Actions 기반 30분 자동 갱신 정상 가동</w:t>
      </w:r>
    </w:p>
    <w:p>
      <w:pPr>
        <w:spacing w:after="200"/>
      </w:pP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2. 예산 집행 현황</w:t>
      </w:r>
    </w:p>
    <w:p>
      <w:pPr>
        <w:shd w:fill="E8F4FD" w:val="clear"/>
        <w:spacing w:after="120" w:before="80"/>
      </w:pPr>
      <w:r>
        <w:rPr>
          <w:rFonts w:ascii="맑은 고딕" w:cs="맑은 고딕" w:eastAsia="맑은 고딕" w:hAnsi="맑은 고딕"/>
          <w:sz w:val="18"/>
          <w:szCs w:val="18"/>
        </w:rPr>
        <w:t xml:space="preserve">💡 </w:t>
      </w:r>
      <w:r>
        <w:rPr>
          <w:rFonts w:ascii="맑은 고딕" w:cs="맑은 고딕" w:eastAsia="맑은 고딕" w:hAnsi="맑은 고딕"/>
          <w:color w:val="0C5460"/>
          <w:sz w:val="18"/>
          <w:szCs w:val="18"/>
        </w:rPr>
        <w:t xml:space="preserve">총 240억 중 109.6억 집행(45.66%). 기간 소진율(92.1%) 대비 46%p 부족. 잔여 0.0억을 3개월 내 집행해야 하므로 월평균 0.0억 집행 필요.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2-1. 비목별 집행 현황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800"/>
        <w:gridCol w:w="1800"/>
        <w:gridCol w:w="1626"/>
      </w:tblGrid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비목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예산(억)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집행(억)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잔액(억)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집행률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인건비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19.0억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19.02억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-0.0억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B050"/>
                <w:sz w:val="18"/>
                <w:szCs w:val="18"/>
              </w:rPr>
              <w:t xml:space="preserve">100.0%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운영비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7.5억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4.89억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2.6억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D7D31"/>
                <w:sz w:val="18"/>
                <w:szCs w:val="18"/>
              </w:rPr>
              <w:t xml:space="preserve">65.3%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여비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1.3억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1.07억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0.2억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B050"/>
                <w:sz w:val="18"/>
                <w:szCs w:val="18"/>
              </w:rPr>
              <w:t xml:space="preserve">82.5%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연구개발비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1.5억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0.60억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0.9억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D7D31"/>
                <w:sz w:val="18"/>
                <w:szCs w:val="18"/>
              </w:rPr>
              <w:t xml:space="preserve">40.0%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유형자산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6.3억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0.16억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6.1억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2.6%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무형자산(SW)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90.1억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42.39억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47.7억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D7D31"/>
                <w:sz w:val="18"/>
                <w:szCs w:val="18"/>
              </w:rPr>
              <w:t xml:space="preserve">47.0%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건설비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99.3억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26.44억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72.9억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26.6%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사업비배분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15.0억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15.00억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0.0억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B050"/>
                <w:sz w:val="18"/>
                <w:szCs w:val="18"/>
              </w:rPr>
              <w:t xml:space="preserve">100.0%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2-2. 단위사업별 집행 현황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800"/>
        <w:gridCol w:w="1500"/>
        <w:gridCol w:w="1500"/>
        <w:gridCol w:w="1200"/>
        <w:gridCol w:w="1526"/>
      </w:tblGrid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사업명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예산(억)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집행(억)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잔액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집행률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유무선 네트워크 구축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7.35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2.69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4.7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D7D31"/>
                <w:sz w:val="18"/>
                <w:szCs w:val="18"/>
              </w:rPr>
              <w:t xml:space="preserve">36.6%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모바일 전자시민증(ECC)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39.50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18.03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21.5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D7D31"/>
                <w:sz w:val="18"/>
                <w:szCs w:val="18"/>
              </w:rPr>
              <w:t xml:space="preserve">45.7%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3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이노베이션 센터 구축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0.00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0.00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0.0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0.0%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4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디지털 OASIS SPOT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42.00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0.35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41.6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0.8%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5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SDDC Platform 구축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27.00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7.09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19.9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26.3%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6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AI 통합관제 플랫폼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16.00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9.29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6.7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D7D31"/>
                <w:sz w:val="18"/>
                <w:szCs w:val="18"/>
              </w:rPr>
              <w:t xml:space="preserve">58.1%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7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디지털 OASIS 정보관리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22.60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10.93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11.7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D7D31"/>
                <w:sz w:val="18"/>
                <w:szCs w:val="18"/>
              </w:rPr>
              <w:t xml:space="preserve">48.4%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8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DRT 수요응답형 교통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10.00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0.00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10.0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0.0%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9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감리용역 (신설)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1.50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0.60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0.9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D7D31"/>
                <w:sz w:val="18"/>
                <w:szCs w:val="18"/>
              </w:rPr>
              <w:t xml:space="preserve">40.0%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스마트폴&amp;디스플레이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6.00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2.98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3.0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D7D31"/>
                <w:sz w:val="18"/>
                <w:szCs w:val="18"/>
              </w:rPr>
              <w:t xml:space="preserve">49.6%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11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메타버스 플랫폼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6.00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3.15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2.9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D7D31"/>
                <w:sz w:val="18"/>
                <w:szCs w:val="18"/>
              </w:rPr>
              <w:t xml:space="preserve">52.5%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12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디지털 노마드(NOP)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0.00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0.00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0.0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0.0%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13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AI 융복합 서비스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0.00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0.00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0.0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0.0%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14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디지털링크 플랫폼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0.00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0.00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0.0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0.0%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공통경비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62.1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54.5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7.6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87.8%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3. WBS 공정률 현황</w:t>
      </w:r>
    </w:p>
    <w:p>
      <w:pPr>
        <w:shd w:fill="E8F4FD" w:val="clear"/>
        <w:spacing w:after="120" w:before="80"/>
      </w:pPr>
      <w:r>
        <w:rPr>
          <w:rFonts w:ascii="맑은 고딕" w:cs="맑은 고딕" w:eastAsia="맑은 고딕" w:hAnsi="맑은 고딕"/>
          <w:sz w:val="18"/>
          <w:szCs w:val="18"/>
        </w:rPr>
        <w:t xml:space="preserve">💡 </w:t>
      </w:r>
      <w:r>
        <w:rPr>
          <w:rFonts w:ascii="맑은 고딕" w:cs="맑은 고딕" w:eastAsia="맑은 고딕" w:hAnsi="맑은 고딕"/>
          <w:color w:val="0C5460"/>
          <w:sz w:val="18"/>
          <w:szCs w:val="18"/>
        </w:rPr>
        <w:t xml:space="preserve">전체 175건 중 완료 116건(66%), 지연 10건. 서비스 구축(가중치 63%) 실적 79%로 전체 공정률에 가장 큰 영향.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6"/>
        <w:gridCol w:w="1504"/>
        <w:gridCol w:w="1504"/>
        <w:gridCol w:w="1504"/>
      </w:tblGrid>
      <w:tr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전체</w:t>
            </w:r>
          </w:p>
        </w:tc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완료</w:t>
            </w:r>
          </w:p>
        </w:tc>
        <w:tc>
          <w:tcPr>
            <w:tcW w:type="dxa" w:w="15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진행</w:t>
            </w:r>
          </w:p>
        </w:tc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지연</w:t>
            </w:r>
          </w:p>
        </w:tc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대기</w:t>
            </w:r>
          </w:p>
        </w:tc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달성률</w:t>
            </w:r>
          </w:p>
        </w:tc>
      </w:tr>
      <w:tr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175건</w:t>
            </w:r>
          </w:p>
        </w:tc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B050"/>
                <w:sz w:val="18"/>
                <w:szCs w:val="18"/>
              </w:rPr>
              <w:t xml:space="preserve">116건</w:t>
            </w:r>
          </w:p>
        </w:tc>
        <w:tc>
          <w:tcPr>
            <w:tcW w:type="dxa" w:w="15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75B6"/>
                <w:sz w:val="18"/>
                <w:szCs w:val="18"/>
              </w:rPr>
              <w:t xml:space="preserve">41건</w:t>
            </w:r>
          </w:p>
        </w:tc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10건</w:t>
            </w:r>
          </w:p>
        </w:tc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D7D31"/>
                <w:sz w:val="18"/>
                <w:szCs w:val="18"/>
              </w:rPr>
              <w:t xml:space="preserve">8건</w:t>
            </w:r>
          </w:p>
        </w:tc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7030A0"/>
                <w:sz w:val="18"/>
                <w:szCs w:val="18"/>
              </w:rPr>
              <w:t xml:space="preserve">66.3%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200"/>
        <w:gridCol w:w="1500"/>
        <w:gridCol w:w="1500"/>
        <w:gridCol w:w="1626"/>
      </w:tblGrid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분류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가중치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계획(%)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실적(%)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편차(%p)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[2] 실시설계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100%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100%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B050"/>
                <w:sz w:val="18"/>
                <w:szCs w:val="18"/>
              </w:rPr>
              <w:t xml:space="preserve">0%p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[3] 나라장터 발주 지원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100%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99%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-100%p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[1] 프로젝트 관리/거버넌스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88%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87%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-2%p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[4] 서비스 구축(앱/웹/플랫폼) 구축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63%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87%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79%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-8%p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[7] 구축 완료 후 운영(3년)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2.5%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40%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B050"/>
                <w:sz w:val="18"/>
                <w:szCs w:val="18"/>
              </w:rPr>
              <w:t xml:space="preserve">+40%p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[6] 준공·검수·인수인계·이관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3%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0%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B050"/>
                <w:sz w:val="18"/>
                <w:szCs w:val="18"/>
              </w:rPr>
              <w:t xml:space="preserve">0%p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[5] 통합시험·시범운영·안정화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3%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0%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B050"/>
                <w:sz w:val="18"/>
                <w:szCs w:val="18"/>
              </w:rPr>
              <w:t xml:space="preserve">0%p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4. 리스크 분석 (AI)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500"/>
        <w:gridCol w:w="3200"/>
        <w:gridCol w:w="2326"/>
      </w:tblGrid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수준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리스크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상세</w:t>
            </w:r>
          </w:p>
        </w:tc>
        <w:tc>
          <w:tcPr>
            <w:tcW w:type="dxa" w:w="2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대응 방안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긴급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예산 집행률 격차 46%p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기간 소진율(92.1%) 대비 집행률(45.66%)이 46%p 부족</w:t>
            </w:r>
          </w:p>
        </w:tc>
        <w:tc>
          <w:tcPr>
            <w:tcW w:type="dxa" w:w="2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미집행 대형 사업 조속 발주 및 선급금 집행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D7D31"/>
                <w:sz w:val="18"/>
                <w:szCs w:val="18"/>
              </w:rPr>
              <w:t xml:space="preserve">주의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#4 디지털 OASIS SPOT 미집행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예산 42.00억 중 집행률 0.8%</w:t>
            </w:r>
          </w:p>
        </w:tc>
        <w:tc>
          <w:tcPr>
            <w:tcW w:type="dxa" w:w="2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발주 일정 확인 및 집행 계획 수립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D7D31"/>
                <w:sz w:val="18"/>
                <w:szCs w:val="18"/>
              </w:rPr>
              <w:t xml:space="preserve">주의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#8 DRT 수요응답형 교통 미집행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예산 10.00억 중 집행률 0.0%</w:t>
            </w:r>
          </w:p>
        </w:tc>
        <w:tc>
          <w:tcPr>
            <w:tcW w:type="dxa" w:w="2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발주 일정 확인 및 집행 계획 수립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D7D31"/>
                <w:sz w:val="18"/>
                <w:szCs w:val="18"/>
              </w:rPr>
              <w:t xml:space="preserve">주의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WBS 지연 9건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계획 대비 실적 미달 작업 다수</w:t>
            </w:r>
          </w:p>
        </w:tc>
        <w:tc>
          <w:tcPr>
            <w:tcW w:type="dxa" w:w="2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지연 원인 분석 및 만회 계획 수립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75B6"/>
                <w:sz w:val="18"/>
                <w:szCs w:val="18"/>
              </w:rPr>
              <w:t xml:space="preserve">정보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잔여기간 D-90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사업 종료까지 약 3개월</w:t>
            </w:r>
          </w:p>
        </w:tc>
        <w:tc>
          <w:tcPr>
            <w:tcW w:type="dxa" w:w="2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준공 로드맵 점검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5. 차주 핵심 과제</w:t>
      </w:r>
    </w:p>
    <w:p>
      <w:pPr>
        <w:pStyle w:val="ListParagraph"/>
        <w:numPr>
          <w:ilvl w:val="0"/>
          <w:numId w:val="3"/>
        </w:numPr>
      </w:pPr>
      <w:r>
        <w:rPr>
          <w:rFonts w:ascii="맑은 고딕" w:cs="맑은 고딕" w:eastAsia="맑은 고딕" w:hAnsi="맑은 고딕"/>
          <w:sz w:val="20"/>
          <w:szCs w:val="20"/>
        </w:rPr>
        <w:t xml:space="preserve">미착수 대형사업 발주 진행 점검</w:t>
      </w:r>
    </w:p>
    <w:p>
      <w:pPr>
        <w:pStyle w:val="ListParagraph"/>
        <w:numPr>
          <w:ilvl w:val="0"/>
          <w:numId w:val="3"/>
        </w:numPr>
      </w:pPr>
      <w:r>
        <w:rPr>
          <w:rFonts w:ascii="맑은 고딕" w:cs="맑은 고딕" w:eastAsia="맑은 고딕" w:hAnsi="맑은 고딕"/>
          <w:sz w:val="20"/>
          <w:szCs w:val="20"/>
        </w:rPr>
        <w:t xml:space="preserve">WBS 지연 작업 만회 계획 수립</w:t>
      </w:r>
    </w:p>
    <w:p>
      <w:pPr>
        <w:pStyle w:val="ListParagraph"/>
        <w:numPr>
          <w:ilvl w:val="0"/>
          <w:numId w:val="3"/>
        </w:numPr>
      </w:pPr>
      <w:r>
        <w:rPr>
          <w:rFonts w:ascii="맑은 고딕" w:cs="맑은 고딕" w:eastAsia="맑은 고딕" w:hAnsi="맑은 고딕"/>
          <w:sz w:val="20"/>
          <w:szCs w:val="20"/>
        </w:rPr>
        <w:t xml:space="preserve">월간 집행 실적 점검 및 보고</w:t>
      </w:r>
    </w:p>
    <w:p>
      <w:pPr>
        <w:spacing w:after="200"/>
      </w:pP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6. PMO 권고사항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0"/>
          <w:szCs w:val="20"/>
        </w:rPr>
        <w:t xml:space="preserve">미집행 대형 사업(OASIS SPOT, DRT 등) 발주 가속화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0"/>
          <w:szCs w:val="20"/>
        </w:rPr>
        <w:t xml:space="preserve">비목간 전용 검토 (여비→운영비 등)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0"/>
          <w:szCs w:val="20"/>
        </w:rPr>
        <w:t xml:space="preserve">준공 일정 역산 기반 마일스톤 재설정</w:t>
      </w:r>
    </w:p>
    <w:p>
      <w:r>
        <w:br w:type="page"/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[부록] WBS 지연 작업 (9건)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500"/>
        <w:gridCol w:w="1500"/>
        <w:gridCol w:w="1526"/>
      </w:tblGrid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작업명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대분류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담당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편차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[5.5] 시범운영(Pilot) 및 안정화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통합시험/시범운영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제일엔지니어링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0%p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[5.4] 교육·매뉴얼·운영절차 수립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통합시험/시범운영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제일엔지니어링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0%p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[5.3] 데이터 초기구축/검수/이관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통합시험/시범운영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제일엔지니어링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0%p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[5.2] 성능/보안 테스트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통합시험/시범운영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제일엔지니어링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0%p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[5.1] 통합 테스트(기능/연계)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통합시험/시범운영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제일엔지니어링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0%p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[4.11.3] 플랫폼 개발 진척사항 및 단위테스트 관리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서비스 구축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제일엔지니어링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-40%p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[4.10.3] 플랫폼 개발 진척사항 및 단위테스트 관리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서비스 구축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제일엔지니어링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0%p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[4.9.3] AI시티관제 플랫폼 연계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서비스 구축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제일엔지니어링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-60%p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[3.2.1.4] 수요응답형 모빌리티 DRT 서비스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나라장터 발주 지원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제일엔지니어링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-80%p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999999"/>
        <w:sz w:val="16"/>
        <w:szCs w:val="16"/>
      </w:rPr>
      <w:t xml:space="preserve">제일엔지니어링 PMO | </w:t>
    </w:r>
    <w:r>
      <w:rPr>
        <w:rFonts w:ascii="맑은 고딕" w:cs="맑은 고딕" w:eastAsia="맑은 고딕" w:hAnsi="맑은 고딕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맑은 고딕" w:cs="맑은 고딕" w:eastAsia="맑은 고딕" w:hAnsi="맑은 고딕"/>
        <w:color w:val="999999"/>
        <w:sz w:val="16"/>
        <w:szCs w:val="16"/>
      </w:rPr>
      <w:t xml:space="preserve"> / </w:t>
    </w:r>
    <w:r>
      <w:rPr>
        <w:rFonts w:ascii="맑은 고딕" w:cs="맑은 고딕" w:eastAsia="맑은 고딕" w:hAnsi="맑은 고딕"/>
        <w:color w:val="99999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맑은 고딕" w:cs="맑은 고딕" w:eastAsia="맑은 고딕" w:hAnsi="맑은 고딕"/>
        <w:color w:val="999999"/>
        <w:sz w:val="16"/>
        <w:szCs w:val="16"/>
      </w:rPr>
      <w:t xml:space="preserve">아산시 스마트시티 | 주간 보고서 W40 (09-28 ~ 10-02)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맑은 고딕" w:cs="맑은 고딕" w:eastAsia="맑은 고딕" w:hAnsi="맑은 고딕"/>
      <w:b/>
      <w:bCs/>
      <w:color w:val="1B3A5C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맑은 고딕" w:cs="맑은 고딕" w:eastAsia="맑은 고딕" w:hAnsi="맑은 고딕"/>
      <w:b/>
      <w:bCs/>
      <w:color w:val="2E75B6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2026-10-02T14:31:37.040Z</dcterms:created>
  <dcterms:modified xsi:type="dcterms:W3CDTF">2026-10-02T14:31:37.040Z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