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W27 (06-29 ~ 07-03)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2026-07-03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2026-07-03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65.5%. 기간 소진율(84.0%) 대비 집행률 격차가 41%p로 집중 관리 필요. 잔여 D-181일.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65.5%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84.0%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D-181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946일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181일 (6개월)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소진율(84.0%) 대비 41%p 부족. 잔여 0.0억을 6개월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106건(61%), 지연 11건. 서비스 구축(가중치 63%) 실적 59%로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41%p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소진율(84.0%) 대비 집행률(42.52%)이 41%p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D-181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6개월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W27 (06-29 ~ 07-03)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2026-07-03T10:37:41.786Z</dcterms:created>
  <dcterms:modified xsi:type="dcterms:W3CDTF">2026-07-03T10:37:41.786Z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