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4"/>
          <w:szCs w:val="44"/>
        </w:rPr>
        <w:t xml:space="preserve">스마트시티 조성사업 월간 추진현황 보고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444444"/>
          <w:sz w:val="32"/>
          <w:szCs w:val="32"/>
        </w:rPr>
        <w:t xml:space="preserve">(2026년 6월)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아산시 강소형 스마트시티 조성사업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사업위치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충청남도 아산시 도고면·배방읍 일원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사업기간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2023.12 ~ 2026.12 (3년, 12개월 연장)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총사업비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240억원 (국비 120억 · 도비 28.8억 · 시비 91.2억)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제출일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2026-06-22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아산시 스마트도시팀</w:t>
            </w:r>
          </w:p>
        </w:tc>
      </w:tr>
    </w:tbl>
    <w:p>
      <w:pPr>
        <w:spacing w:before="8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아 산 시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사업 총괄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42.52%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62.8%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83.0%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D-192</w:t>
            </w:r>
          </w:p>
        </w:tc>
      </w:tr>
    </w:tbl>
    <w:p>
      <w:pPr>
        <w:spacing w:after="200"/>
      </w:pP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0C5460"/>
          <w:sz w:val="18"/>
          <w:szCs w:val="18"/>
        </w:rPr>
        <w:t xml:space="preserve">💡 AI 분석: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2026년 6월 기준 예산 집행률 42.52%, WBS 공정률 62.8%. 기간 소진율(83.0%) 대비 집행률 격차 40%p. 잔여 D-192일.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재원별 집행현황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재원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총예산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국비(50%)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69.0억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42.52%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도비(12%)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28.8억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12.2억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16.6억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42.52%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시비(38%)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91.2억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38.8억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52.4억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42.52%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240.0억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102.1억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42.52%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비목별 집행현황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4.58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61.2%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0.4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68.8%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44.0%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23.49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75.8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세부사업별 추진현황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300"/>
        <w:gridCol w:w="1300"/>
        <w:gridCol w:w="1300"/>
        <w:gridCol w:w="18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세부사업명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5.46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45.5%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0.9%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8.20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41.0%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4.37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58.3%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WBS 공정 현황</w:t>
      </w:r>
    </w:p>
    <w:p>
      <w:pPr>
        <w:shd w:fill="E8F4FD" w:val="clear"/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0건 중 완료 0건, 지연 0건.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0건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0건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80%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주요 이슈 및 대응현황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집행률 격차 40%p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기간소진율 대비 집행률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미착수 사업 발주 가속화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10건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향후 추진계획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사업 발주 진행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지연 작업 만회 계획 수립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</w:t>
      </w:r>
    </w:p>
    <w:p>
      <w:pP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6-1.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대형 미집행 사업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로드맵 재설정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스마트도시팀 | 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월별 관리카드 (2026년 6월)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2026-06-22T05:25:07.735Z</dcterms:created>
  <dcterms:modified xsi:type="dcterms:W3CDTF">2026-06-22T05:25:07.735Z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