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스마트시티 조성사업 월간 추진현황 보고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444444"/>
          <w:sz w:val="32"/>
          <w:szCs w:val="32"/>
        </w:rPr>
        <w:t xml:space="preserve">(2026년 8월)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아산시 강소형 스마트시티 조성사업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사업위치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충청남도 아산시 도고면·배방읍 일원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2023.12 ~ 2026.12 (3년, 12개월 연장)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총사업비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240억원 (국비 120억 · 도비 28.8억 · 시비 91.2억)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2026-08-02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 스마트도시팀</w:t>
            </w:r>
          </w:p>
        </w:tc>
      </w:tr>
    </w:tbl>
    <w:p>
      <w:pPr>
        <w:spacing w:before="8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아 산 시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사업 총괄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67.2%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86.6%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D-152</w:t>
            </w:r>
          </w:p>
        </w:tc>
      </w:tr>
    </w:tbl>
    <w:p>
      <w:pPr>
        <w:spacing w:after="200"/>
      </w:pP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0C5460"/>
          <w:sz w:val="18"/>
          <w:szCs w:val="18"/>
        </w:rPr>
        <w:t xml:space="preserve">💡 AI 분석: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2026년 8월 기준 예산 집행률 42.52%, WBS 공정률 67.2%. 기간 소진율(86.6%) 대비 집행률 격차 44%p. 잔여 D-152일.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재원별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총예산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국비(50%)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69.0억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42.52%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도비(12%)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42.52%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시비(38%)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52.4억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42.52%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102.1억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42.52%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비목별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세부사업별 추진현황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0"/>
        <w:gridCol w:w="1300"/>
        <w:gridCol w:w="1300"/>
        <w:gridCol w:w="18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세부사업명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5.46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8.20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WBS 공정 현황</w:t>
      </w:r>
    </w:p>
    <w:p>
      <w:pPr>
        <w:shd w:fill="E8F4FD" w:val="clear"/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106건, 지연 11건.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106건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60.6%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주요 이슈 및 대응현황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집행률 격차 44%p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기간소진율 대비 집행률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 사업 발주 가속화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향후 추진계획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사업 발주 진행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지연 작업 만회 계획 수립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</w:t>
      </w:r>
    </w:p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6-1.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대형 미집행 사업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로드맵 재설정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스마트도시팀 | 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월별 관리카드 (2026년 8월)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2026-08-01T23:49:02.156Z</dcterms:created>
  <dcterms:modified xsi:type="dcterms:W3CDTF">2026-08-01T23:49:02.156Z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