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/>
      </w:pPr>
    </w:p>
    <w:p>
      <w:pPr>
        <w:spacing w:after="400"/>
        <w:jc w:val="center"/>
      </w:pPr>
      <w:r>
        <w:rPr>
          <w:rFonts w:ascii="맑은 고딕" w:cs="맑은 고딕" w:eastAsia="맑은 고딕" w:hAnsi="맑은 고딕"/>
          <w:b/>
          <w:bCs/>
          <w:color w:val="1B3A5C"/>
          <w:sz w:val="44"/>
          <w:szCs w:val="44"/>
        </w:rPr>
        <w:t xml:space="preserve">스마트시티 조성사업 월간 추진현황 보고</w:t>
      </w:r>
    </w:p>
    <w:p>
      <w:pPr>
        <w:spacing w:after="600"/>
        <w:jc w:val="center"/>
      </w:pPr>
      <w:r>
        <w:rPr>
          <w:rFonts w:ascii="맑은 고딕" w:cs="맑은 고딕" w:eastAsia="맑은 고딕" w:hAnsi="맑은 고딕"/>
          <w:color w:val="444444"/>
          <w:sz w:val="32"/>
          <w:szCs w:val="32"/>
        </w:rPr>
        <w:t xml:space="preserve">(2026년)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사업명</w:t>
            </w:r>
          </w:p>
        </w:tc>
        <w:tc>
          <w:tcPr>
            <w:tcW w:type="dxa" w:w="6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아산시 강소형 스마트시티 조성사업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사업위치</w:t>
            </w:r>
          </w:p>
        </w:tc>
        <w:tc>
          <w:tcPr>
            <w:tcW w:type="dxa" w:w="6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충청남도 아산시 도고면·배방읍 일원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사업기간</w:t>
            </w:r>
          </w:p>
        </w:tc>
        <w:tc>
          <w:tcPr>
            <w:tcW w:type="dxa" w:w="6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2023.12 ~ 2026.12 (3년, 12개월 연장)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총사업비</w:t>
            </w:r>
          </w:p>
        </w:tc>
        <w:tc>
          <w:tcPr>
            <w:tcW w:type="dxa" w:w="6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240억원 (국비 120억 · 도비 28.8억 · 시비 91.2억)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제출일</w:t>
            </w:r>
          </w:p>
        </w:tc>
        <w:tc>
          <w:tcPr>
            <w:tcW w:type="dxa" w:w="6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2026-04-10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제출처</w:t>
            </w:r>
          </w:p>
        </w:tc>
        <w:tc>
          <w:tcPr>
            <w:tcW w:type="dxa" w:w="6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아산시 스마트도시팀</w:t>
            </w:r>
          </w:p>
        </w:tc>
      </w:tr>
    </w:tbl>
    <w:p>
      <w:pPr>
        <w:spacing w:before="800"/>
        <w:jc w:val="center"/>
      </w:pPr>
      <w:r>
        <w:rPr>
          <w:rFonts w:ascii="맑은 고딕" w:cs="맑은 고딕" w:eastAsia="맑은 고딕" w:hAnsi="맑은 고딕"/>
          <w:b/>
          <w:bCs/>
          <w:color w:val="1B3A5C"/>
          <w:sz w:val="36"/>
          <w:szCs w:val="36"/>
        </w:rPr>
        <w:t xml:space="preserve">아 산 시</w:t>
      </w:r>
    </w:p>
    <w:p>
      <w:r>
        <w:br w:type="page"/>
      </w: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1. 사업 총괄 현황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8"/>
        <w:gridCol w:w="2256"/>
      </w:tblGrid>
      <w:tr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예산 집행률</w:t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WBS 공정률</w:t>
            </w:r>
          </w:p>
        </w:tc>
        <w:tc>
          <w:tcPr>
            <w:tcW w:type="dxa" w:w="225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기간 소진율</w:t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D-Day</w:t>
            </w:r>
          </w:p>
        </w:tc>
      </w:tr>
      <w:tr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75B6"/>
                <w:sz w:val="18"/>
                <w:szCs w:val="18"/>
              </w:rPr>
              <w:t xml:space="preserve">41.21%</w:t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7030A0"/>
                <w:sz w:val="18"/>
                <w:szCs w:val="18"/>
              </w:rPr>
              <w:t xml:space="preserve">52.3%</w:t>
            </w:r>
          </w:p>
        </w:tc>
        <w:tc>
          <w:tcPr>
            <w:tcW w:type="dxa" w:w="225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ED7D31"/>
                <w:sz w:val="18"/>
                <w:szCs w:val="18"/>
              </w:rPr>
              <w:t xml:space="preserve">76.6%</w:t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D-265</w:t>
            </w:r>
          </w:p>
        </w:tc>
      </w:tr>
    </w:tbl>
    <w:p>
      <w:pPr>
        <w:spacing w:after="200"/>
      </w:pPr>
    </w:p>
    <w:p>
      <w:pPr>
        <w:shd w:fill="E8F4FD" w:val="clear"/>
        <w:spacing w:after="120" w:before="80"/>
      </w:pPr>
      <w:r>
        <w:rPr>
          <w:rFonts w:ascii="맑은 고딕" w:cs="맑은 고딕" w:eastAsia="맑은 고딕" w:hAnsi="맑은 고딕"/>
          <w:b/>
          <w:bCs/>
          <w:color w:val="0C5460"/>
          <w:sz w:val="18"/>
          <w:szCs w:val="18"/>
        </w:rPr>
        <w:t xml:space="preserve">💡 AI 분석: </w:t>
      </w:r>
      <w:r>
        <w:rPr>
          <w:rFonts w:ascii="맑은 고딕" w:cs="맑은 고딕" w:eastAsia="맑은 고딕" w:hAnsi="맑은 고딕"/>
          <w:color w:val="0C5460"/>
          <w:sz w:val="18"/>
          <w:szCs w:val="18"/>
        </w:rPr>
        <w:t xml:space="preserve">2026년 기준 예산 집행률 41.21%, WBS 공정률 52.3%. 기간 소진율(76.6%) 대비 집행률 격차 35%p. 잔여 D-265일.</w:t>
      </w: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2. 예산 집행 현황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2-1. 재원별 집행현황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1500"/>
        <w:gridCol w:w="1500"/>
        <w:gridCol w:w="1500"/>
        <w:gridCol w:w="1526"/>
      </w:tblGrid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재원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총예산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집행액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잔액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집행률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국비(50%)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120.0억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49.5억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70.5억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ED7D31"/>
                <w:sz w:val="18"/>
                <w:szCs w:val="18"/>
              </w:rPr>
              <w:t xml:space="preserve">41.21%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도비(12%)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28.8억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11.9억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16.9억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41.21%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시비(38%)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91.2억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37.6억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53.6억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41.21%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합계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240.0억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98.9억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0.0억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ED7D31"/>
                <w:sz w:val="18"/>
                <w:szCs w:val="18"/>
              </w:rPr>
              <w:t xml:space="preserve">41.21%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2-2. 비목별 집행현황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1800"/>
        <w:gridCol w:w="1800"/>
        <w:gridCol w:w="1626"/>
      </w:tblGrid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비목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예산(억)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집행(억)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잔액(억)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집행률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인건비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19.0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19.02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-0.0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B050"/>
                <w:sz w:val="18"/>
                <w:szCs w:val="18"/>
              </w:rPr>
              <w:t xml:space="preserve">100.0%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운영비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7.5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4.44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3.1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ED7D31"/>
                <w:sz w:val="18"/>
                <w:szCs w:val="18"/>
              </w:rPr>
              <w:t xml:space="preserve">59.3%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여비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1.3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0.79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0.5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ED7D31"/>
                <w:sz w:val="18"/>
                <w:szCs w:val="18"/>
              </w:rPr>
              <w:t xml:space="preserve">60.9%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연구개발비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1.5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0.00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1.5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0.0%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유형자산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6.3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0.16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6.1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2.6%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무형자산(SW)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90.1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38.25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51.8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ED7D31"/>
                <w:sz w:val="18"/>
                <w:szCs w:val="18"/>
              </w:rPr>
              <w:t xml:space="preserve">42.5%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건설비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99.3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23.25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76.0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23.4%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사업비배분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15.0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13.00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2.0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B050"/>
                <w:sz w:val="18"/>
                <w:szCs w:val="18"/>
              </w:rPr>
              <w:t xml:space="preserve">86.7%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3. 세부사업별 추진현황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800"/>
        <w:gridCol w:w="1300"/>
        <w:gridCol w:w="1300"/>
        <w:gridCol w:w="1300"/>
        <w:gridCol w:w="1826"/>
      </w:tblGrid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세부사업명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예산(억)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집행(억)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집행률</w:t>
            </w:r>
          </w:p>
        </w:tc>
        <w:tc>
          <w:tcPr>
            <w:tcW w:type="dxa" w:w="1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상태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유무선 네트워크 구축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11.35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4.15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ED7D31"/>
                <w:sz w:val="18"/>
                <w:szCs w:val="18"/>
              </w:rPr>
              <w:t xml:space="preserve">36.6%</w:t>
            </w:r>
          </w:p>
        </w:tc>
        <w:tc>
          <w:tcPr>
            <w:tcW w:type="dxa" w:w="1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🔵 진행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서비스 인프라 플랫폼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41.50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18.03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ED7D31"/>
                <w:sz w:val="18"/>
                <w:szCs w:val="18"/>
              </w:rPr>
              <w:t xml:space="preserve">43.5%</w:t>
            </w:r>
          </w:p>
        </w:tc>
        <w:tc>
          <w:tcPr>
            <w:tcW w:type="dxa" w:w="1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🔵 진행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3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이노베이션 센터 구축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13.00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11.86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B050"/>
                <w:sz w:val="18"/>
                <w:szCs w:val="18"/>
              </w:rPr>
              <w:t xml:space="preserve">91.2%</w:t>
            </w:r>
          </w:p>
        </w:tc>
        <w:tc>
          <w:tcPr>
            <w:tcW w:type="dxa" w:w="1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🟢 완료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4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디지털 OASIS SPOT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42.00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0.15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0.4%</w:t>
            </w:r>
          </w:p>
        </w:tc>
        <w:tc>
          <w:tcPr>
            <w:tcW w:type="dxa" w:w="1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🔵 진행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5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SDDC Platform 구축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27.00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7.09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26.3%</w:t>
            </w:r>
          </w:p>
        </w:tc>
        <w:tc>
          <w:tcPr>
            <w:tcW w:type="dxa" w:w="1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🔵 진행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6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AI 통합관제 플랫폼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16.00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9.29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ED7D31"/>
                <w:sz w:val="18"/>
                <w:szCs w:val="18"/>
              </w:rPr>
              <w:t xml:space="preserve">58.1%</w:t>
            </w:r>
          </w:p>
        </w:tc>
        <w:tc>
          <w:tcPr>
            <w:tcW w:type="dxa" w:w="1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🔵 진행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7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디지털 OASIS 정보관리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22.60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10.93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ED7D31"/>
                <w:sz w:val="18"/>
                <w:szCs w:val="18"/>
              </w:rPr>
              <w:t xml:space="preserve">48.4%</w:t>
            </w:r>
          </w:p>
        </w:tc>
        <w:tc>
          <w:tcPr>
            <w:tcW w:type="dxa" w:w="1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🔵 진행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8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DRT 수요응답형 교통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10.00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0.00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0.0%</w:t>
            </w:r>
          </w:p>
        </w:tc>
        <w:tc>
          <w:tcPr>
            <w:tcW w:type="dxa" w:w="1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⬜ 미착수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9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감리용역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1.50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0.00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0.0%</w:t>
            </w:r>
          </w:p>
        </w:tc>
        <w:tc>
          <w:tcPr>
            <w:tcW w:type="dxa" w:w="1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⬜ 미착수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스마트폴&amp;디스플레이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6.00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0.00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0.0%</w:t>
            </w:r>
          </w:p>
        </w:tc>
        <w:tc>
          <w:tcPr>
            <w:tcW w:type="dxa" w:w="1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⬜ 미착수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11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메타버스 플랫폼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6.00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0.00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0.0%</w:t>
            </w:r>
          </w:p>
        </w:tc>
        <w:tc>
          <w:tcPr>
            <w:tcW w:type="dxa" w:w="1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⬜ 미착수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4. WBS 공정 현황</w:t>
      </w:r>
    </w:p>
    <w:p>
      <w:pPr>
        <w:shd w:fill="E8F4FD" w:val="clear"/>
        <w:spacing w:after="120"/>
      </w:pPr>
      <w:r>
        <w:rPr>
          <w:rFonts w:ascii="맑은 고딕" w:cs="맑은 고딕" w:eastAsia="맑은 고딕" w:hAnsi="맑은 고딕"/>
          <w:sz w:val="18"/>
          <w:szCs w:val="18"/>
        </w:rPr>
        <w:t xml:space="preserve">💡 </w:t>
      </w:r>
      <w:r>
        <w:rPr>
          <w:rFonts w:ascii="맑은 고딕" w:cs="맑은 고딕" w:eastAsia="맑은 고딕" w:hAnsi="맑은 고딕"/>
          <w:color w:val="0C5460"/>
          <w:sz w:val="18"/>
          <w:szCs w:val="18"/>
        </w:rPr>
        <w:t xml:space="preserve">전체 175건 중 완료 89건, 지연 10건.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6"/>
        <w:gridCol w:w="1504"/>
        <w:gridCol w:w="1504"/>
        <w:gridCol w:w="1504"/>
      </w:tblGrid>
      <w:tr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전체</w:t>
            </w:r>
          </w:p>
        </w:tc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완료</w:t>
            </w:r>
          </w:p>
        </w:tc>
        <w:tc>
          <w:tcPr>
            <w:tcW w:type="dxa" w:w="15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진행</w:t>
            </w:r>
          </w:p>
        </w:tc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지연</w:t>
            </w:r>
          </w:p>
        </w:tc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대기</w:t>
            </w:r>
          </w:p>
        </w:tc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달성률</w:t>
            </w:r>
          </w:p>
        </w:tc>
      </w:tr>
      <w:tr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175건</w:t>
            </w:r>
          </w:p>
        </w:tc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B050"/>
                <w:sz w:val="18"/>
                <w:szCs w:val="18"/>
              </w:rPr>
              <w:t xml:space="preserve">89건</w:t>
            </w:r>
          </w:p>
        </w:tc>
        <w:tc>
          <w:tcPr>
            <w:tcW w:type="dxa" w:w="15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75B6"/>
                <w:sz w:val="18"/>
                <w:szCs w:val="18"/>
              </w:rPr>
              <w:t xml:space="preserve">61건</w:t>
            </w:r>
          </w:p>
        </w:tc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10건</w:t>
            </w:r>
          </w:p>
        </w:tc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ED7D31"/>
                <w:sz w:val="18"/>
                <w:szCs w:val="18"/>
              </w:rPr>
              <w:t xml:space="preserve">15건</w:t>
            </w:r>
          </w:p>
        </w:tc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7030A0"/>
                <w:sz w:val="18"/>
                <w:szCs w:val="18"/>
              </w:rPr>
              <w:t xml:space="preserve">50.9%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5. 주요 이슈 및 대응현황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500"/>
        <w:gridCol w:w="3200"/>
        <w:gridCol w:w="2326"/>
      </w:tblGrid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수준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이슈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영향</w:t>
            </w:r>
          </w:p>
        </w:tc>
        <w:tc>
          <w:tcPr>
            <w:tcW w:type="dxa" w:w="2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대응방안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긴급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집행률 격차 35%p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기간소진율 대비 집행률 부족</w:t>
            </w:r>
          </w:p>
        </w:tc>
        <w:tc>
          <w:tcPr>
            <w:tcW w:type="dxa" w:w="2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미착수 사업 발주 가속화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ED7D31"/>
                <w:sz w:val="18"/>
                <w:szCs w:val="18"/>
              </w:rPr>
              <w:t xml:space="preserve">주의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WBS 지연 9건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계획 대비 실적 미달</w:t>
            </w:r>
          </w:p>
        </w:tc>
        <w:tc>
          <w:tcPr>
            <w:tcW w:type="dxa" w:w="2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지연 원인 분석 및 만회 계획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6. 향후 추진계획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0"/>
          <w:szCs w:val="20"/>
        </w:rPr>
        <w:t xml:space="preserve">미착수 사업 발주 진행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0"/>
          <w:szCs w:val="20"/>
        </w:rPr>
        <w:t xml:space="preserve">지연 작업 만회 계획 수립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0"/>
          <w:szCs w:val="20"/>
        </w:rPr>
        <w:t xml:space="preserve">월간 집행 실적 점검</w:t>
      </w:r>
    </w:p>
    <w:p>
      <w:pPr>
        <w:spacing w:after="120"/>
      </w:pP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6-1. PMO 권고사항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0"/>
          <w:szCs w:val="20"/>
        </w:rPr>
        <w:t xml:space="preserve">대형 미집행 사업 발주 가속화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0"/>
          <w:szCs w:val="20"/>
        </w:rPr>
        <w:t xml:space="preserve">비목간 전용 검토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0"/>
          <w:szCs w:val="20"/>
        </w:rPr>
        <w:t xml:space="preserve">준공 로드맵 재설정</w:t>
      </w:r>
    </w:p>
    <w:p>
      <w:r>
        <w:br w:type="page"/>
      </w: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7. 성과지표 달성 현황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2000"/>
        <w:gridCol w:w="2026"/>
      </w:tblGrid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성과지표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목표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실적</w:t>
            </w:r>
          </w:p>
        </w:tc>
        <w:tc>
          <w:tcPr>
            <w:tcW w:type="dxa" w:w="2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달성률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예산 집행률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100%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41.21%</w:t>
            </w:r>
          </w:p>
        </w:tc>
        <w:tc>
          <w:tcPr>
            <w:tcW w:type="dxa" w:w="2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ED7D31"/>
                <w:sz w:val="18"/>
                <w:szCs w:val="18"/>
              </w:rPr>
              <w:t xml:space="preserve">41.21%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WBS 공정률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100%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52.3%</w:t>
            </w:r>
          </w:p>
        </w:tc>
        <w:tc>
          <w:tcPr>
            <w:tcW w:type="dxa" w:w="2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ED7D31"/>
                <w:sz w:val="18"/>
                <w:szCs w:val="18"/>
              </w:rPr>
              <w:t xml:space="preserve">50.9%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서비스 구축 완료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175건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89건</w:t>
            </w:r>
          </w:p>
        </w:tc>
        <w:tc>
          <w:tcPr>
            <w:tcW w:type="dxa" w:w="2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51%</w:t>
            </w:r>
          </w:p>
        </w:tc>
      </w:tr>
    </w:tbl>
    <w:p>
      <w:pPr>
        <w:pStyle w:val="Heading2"/>
        <w:spacing w:before="200"/>
      </w:pPr>
      <w:r>
        <w:rPr>
          <w:rFonts w:ascii="맑은 고딕" w:cs="맑은 고딕" w:eastAsia="맑은 고딕" w:hAnsi="맑은 고딕"/>
        </w:rPr>
        <w:t xml:space="preserve">7-1. WBS Level-1 분류별 공정률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200"/>
        <w:gridCol w:w="1500"/>
        <w:gridCol w:w="1500"/>
        <w:gridCol w:w="1626"/>
      </w:tblGrid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분류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가중치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계획(%)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실적(%)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편차(%p)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[2] 실시설계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10%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100%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98%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-2%p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[3] 나라장터 발주 지원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10%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100%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88%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-12%p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[1] 프로젝트 관리/거버넌스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10%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100%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75%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-25%p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[4] 서비스 구축(앱/웹/플랫폼) 구축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63%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100%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40%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-60%p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[9] 구축 완료 후 운영(3년)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2.5%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0%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40%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B050"/>
                <w:sz w:val="18"/>
                <w:szCs w:val="18"/>
              </w:rPr>
              <w:t xml:space="preserve">+40%p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[5] 통합시험·시범운영·안정화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3%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100%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0%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-100%p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[6] 준공·검수·인수인계·이관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3%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0%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0%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B050"/>
                <w:sz w:val="18"/>
                <w:szCs w:val="18"/>
              </w:rPr>
              <w:t xml:space="preserve">0%p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8. 연간 추진 경과</w:t>
      </w:r>
    </w:p>
    <w:p>
      <w:pPr>
        <w:spacing w:after="120"/>
      </w:pPr>
      <w:r>
        <w:rPr>
          <w:rFonts w:ascii="맑은 고딕" w:cs="맑은 고딕" w:eastAsia="맑은 고딕" w:hAnsi="맑은 고딕"/>
          <w:sz w:val="20"/>
          <w:szCs w:val="20"/>
        </w:rPr>
        <w:t xml:space="preserve">2026년 사업 추진 주요 경과를 월별로 정리하였습니다.</w:t>
      </w: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9. 사업 추진체계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026"/>
      </w:tblGrid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구분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기관</w:t>
            </w:r>
          </w:p>
        </w:tc>
        <w:tc>
          <w:tcPr>
            <w:tcW w:type="dxa" w:w="4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역할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시행기관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아산시</w:t>
            </w:r>
          </w:p>
        </w:tc>
        <w:tc>
          <w:tcPr>
            <w:tcW w:type="dxa" w:w="4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스마트도시팀, 사업총괄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직접보조사업자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제일엔지니어링</w:t>
            </w:r>
          </w:p>
        </w:tc>
        <w:tc>
          <w:tcPr>
            <w:tcW w:type="dxa" w:w="4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PMO, 사업관리·기술지원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간접보조사업자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호서대학교</w:t>
            </w:r>
          </w:p>
        </w:tc>
        <w:tc>
          <w:tcPr>
            <w:tcW w:type="dxa" w:w="4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이노베이션센터 운영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간접보조사업자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충남연구원</w:t>
            </w:r>
          </w:p>
        </w:tc>
        <w:tc>
          <w:tcPr>
            <w:tcW w:type="dxa" w:w="4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연구·정책지원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간접보조사업자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KAIST</w:t>
            </w:r>
          </w:p>
        </w:tc>
        <w:tc>
          <w:tcPr>
            <w:tcW w:type="dxa" w:w="4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기술자문·연구지원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color w:val="999999"/>
        <w:sz w:val="16"/>
        <w:szCs w:val="16"/>
      </w:rPr>
      <w:t xml:space="preserve">아산시 스마트도시팀 | 제일엔지니어링 PMO | </w:t>
    </w:r>
    <w:r>
      <w:rPr>
        <w:rFonts w:ascii="맑은 고딕" w:cs="맑은 고딕" w:eastAsia="맑은 고딕" w:hAnsi="맑은 고딕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맑은 고딕" w:cs="맑은 고딕" w:eastAsia="맑은 고딕" w:hAnsi="맑은 고딕"/>
        <w:color w:val="999999"/>
        <w:sz w:val="16"/>
        <w:szCs w:val="16"/>
      </w:rPr>
      <w:t xml:space="preserve"> / </w:t>
    </w:r>
    <w:r>
      <w:rPr>
        <w:rFonts w:ascii="맑은 고딕" w:cs="맑은 고딕" w:eastAsia="맑은 고딕" w:hAnsi="맑은 고딕"/>
        <w:color w:val="99999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맑은 고딕" w:cs="맑은 고딕" w:eastAsia="맑은 고딕" w:hAnsi="맑은 고딕"/>
        <w:color w:val="999999"/>
        <w:sz w:val="16"/>
        <w:szCs w:val="16"/>
      </w:rPr>
      <w:t xml:space="preserve">아산시 스마트시티 | 연간 성과보고서 (2026년)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맑은 고딕" w:cs="맑은 고딕" w:eastAsia="맑은 고딕" w:hAnsi="맑은 고딕"/>
      <w:b/>
      <w:bCs/>
      <w:color w:val="1B3A5C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맑은 고딕" w:cs="맑은 고딕" w:eastAsia="맑은 고딕" w:hAnsi="맑은 고딕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2026-04-10T12:01:08.405Z</dcterms:created>
  <dcterms:modified xsi:type="dcterms:W3CDTF">2026-04-10T12:01:08.405Z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