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W15 (04-06 ~ 04-10)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작성일: 2026-04-10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76.6%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D-265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89 / 전체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862일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265일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 (비목별)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인프라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 (인건비/운영비 등)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공정률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4-1. Level-1 공정률 (가중평균)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이슈 및 리스크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집행률(41.21%)이 기간 소진율(76.6%) 대비 35%p 부족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#4 디지털 OASIS SPOT (42.00억) 집행률 0.4%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#8 DRT 수요응답형 교통 (10.00억) 집행률 0.0%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WBS 지연 작업 9건 — 집중 관리 필요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D-265 (9개월)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담당기관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강소형 스마트시티 | 주간 진도 보고서 W15 (04-06 ~ 04-10)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2026-04-10T06:58:44.349Z</dcterms:created>
  <dcterms:modified xsi:type="dcterms:W3CDTF">2026-04-10T06:58:44.349Z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