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B3A5C"/>
          <w:sz w:val="40"/>
          <w:szCs w:val="40"/>
        </w:rPr>
        <w:t xml:space="preserve">아산시 강소형 스마트시티 조성사업</w:t>
      </w:r>
    </w:p>
    <w:p>
      <w:pPr>
        <w:spacing w:before="200"/>
        <w:jc w:val="center"/>
      </w:pPr>
      <w:r>
        <w:rPr>
          <w:rFonts w:ascii="맑은 고딕" w:cs="맑은 고딕" w:eastAsia="맑은 고딕" w:hAnsi="맑은 고딕"/>
          <w:b/>
          <w:bCs/>
          <w:color w:val="1B3A5C"/>
          <w:sz w:val="52"/>
          <w:szCs w:val="52"/>
        </w:rPr>
        <w:t xml:space="preserve">주간 진도 보고서</w:t>
      </w:r>
    </w:p>
    <w:p>
      <w:pPr>
        <w:spacing w:before="400"/>
        <w:jc w:val="center"/>
      </w:pPr>
      <w:r>
        <w:rPr>
          <w:rFonts w:ascii="맑은 고딕" w:cs="맑은 고딕" w:eastAsia="맑은 고딕" w:hAnsi="맑은 고딕"/>
          <w:color w:val="666666"/>
          <w:sz w:val="28"/>
          <w:szCs w:val="28"/>
        </w:rPr>
        <w:t xml:space="preserve">W15 (04-06 ~ 04-10)</w:t>
      </w:r>
    </w:p>
    <w:p>
      <w:pPr>
        <w:spacing w:before="200"/>
        <w:jc w:val="center"/>
      </w:pPr>
      <w:r>
        <w:rPr>
          <w:rFonts w:ascii="맑은 고딕" w:cs="맑은 고딕" w:eastAsia="맑은 고딕" w:hAnsi="맑은 고딕"/>
          <w:color w:val="888888"/>
          <w:sz w:val="24"/>
          <w:szCs w:val="24"/>
        </w:rPr>
        <w:t xml:space="preserve">작성일: 2026-04-10</w:t>
      </w:r>
    </w:p>
    <w:p>
      <w:pPr>
        <w:spacing w:before="120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제일엔지니어링 PMO팀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총괄 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8"/>
        <w:gridCol w:w="2256"/>
      </w:tblGrid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 집행률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WBS 공정률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 소진율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D-Day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75B6"/>
                <w:sz w:val="18"/>
                <w:szCs w:val="18"/>
              </w:rPr>
              <w:t xml:space="preserve">41.21%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030A0"/>
                <w:sz w:val="18"/>
                <w:szCs w:val="18"/>
              </w:rPr>
              <w:t xml:space="preserve">52.3%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76.6%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D-265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98.9억 / 240억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완료 89 / 전체 175건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862일 / 1126일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잔여 265일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2. 예산 집행 현황 (비목별)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800"/>
        <w:gridCol w:w="1800"/>
        <w:gridCol w:w="1626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비목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예산(억)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집행(억)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잔액(억)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집행률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인건비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19.0억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19.02억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-0.0억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운영비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7.5억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4.44억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3.1억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59.3%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1.3억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0.79억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0.5억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60.9%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연구개발비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유형자산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6.3억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0.16억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6.1억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2.6%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무형자산(SW)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90.1억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38.25억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51.8억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42.5%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건설비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99.3억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23.25억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76.0억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23.4%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사업비배분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15.0억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13.00억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86.7%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단위사업별 집행 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1500"/>
        <w:gridCol w:w="1500"/>
        <w:gridCol w:w="1200"/>
        <w:gridCol w:w="1526"/>
      </w:tblGrid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예산(억)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집행(억)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잔액(억)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집행률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유무선 네트워크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11.35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4.15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7.2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36.6%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서비스 인프라 플랫폼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41.50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18.03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23.5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43.5%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이노베이션 센터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11.86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1.1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91.2%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디지털 OASIS SPOT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0.15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41.9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0.4%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SDDC Platform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7.09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19.9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26.3%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통합관제 플랫폼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9.29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6.7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58.1%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디지털 OASIS 정보관리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22.60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10.93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11.7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48.4%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DRT 수요응답형 교통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10.0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감리용역 (신설)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스마트폴&amp;디스플레이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메타버스 플랫폼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공통경비 (인건비/운영비 등)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43.1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37.4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5.6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86.9%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WBS 공정률 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6"/>
        <w:gridCol w:w="1504"/>
        <w:gridCol w:w="1504"/>
        <w:gridCol w:w="1504"/>
      </w:tblGrid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진행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지연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대기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달성률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175건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89건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75B6"/>
                <w:sz w:val="18"/>
                <w:szCs w:val="18"/>
              </w:rPr>
              <w:t xml:space="preserve">61건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10건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15건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030A0"/>
                <w:sz w:val="18"/>
                <w:szCs w:val="18"/>
              </w:rPr>
              <w:t xml:space="preserve">50.9%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4-1. Level-1 공정률 (가중평균)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1500"/>
        <w:gridCol w:w="1500"/>
        <w:gridCol w:w="16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분류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가중치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계획(%)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실적(%)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편차(%p)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[2] 실시설계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98%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-2%p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[3] 나라장터 발주 지원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88%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-12%p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[1] 프로젝트 관리/거버넌스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75%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-25%p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[4] 서비스 구축(앱/웹/플랫폼) 구축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-60%p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[9] 구축 완료 후 운영(3년)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2.5%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+40%p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[5] 통합시험·시범운영·안정화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[6] 준공·검수·인수인계·이관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0%p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이슈 및 리스크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수준</w:t>
            </w:r>
          </w:p>
        </w:tc>
        <w:tc>
          <w:tcPr>
            <w:tcW w:type="dxa" w:w="7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긴급</w:t>
            </w:r>
          </w:p>
        </w:tc>
        <w:tc>
          <w:tcPr>
            <w:tcW w:type="dxa" w:w="7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집행률(41.21%)이 기간 소진율(76.6%) 대비 35%p 부족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주의</w:t>
            </w:r>
          </w:p>
        </w:tc>
        <w:tc>
          <w:tcPr>
            <w:tcW w:type="dxa" w:w="7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#4 디지털 OASIS SPOT (42.00억) 집행률 0.4%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주의</w:t>
            </w:r>
          </w:p>
        </w:tc>
        <w:tc>
          <w:tcPr>
            <w:tcW w:type="dxa" w:w="7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#8 DRT 수요응답형 교통 (10.00억) 집행률 0.0%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주의</w:t>
            </w:r>
          </w:p>
        </w:tc>
        <w:tc>
          <w:tcPr>
            <w:tcW w:type="dxa" w:w="7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WBS 지연 작업 9건 — 집중 관리 필요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75B6"/>
                <w:sz w:val="18"/>
                <w:szCs w:val="18"/>
              </w:rPr>
              <w:t xml:space="preserve">정보</w:t>
            </w:r>
          </w:p>
        </w:tc>
        <w:tc>
          <w:tcPr>
            <w:tcW w:type="dxa" w:w="7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사업 종료까지 D-265 (9개월)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WBS 지연 작업 (9건)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1500"/>
        <w:gridCol w:w="1526"/>
      </w:tblGrid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작업명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대분류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담당기관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편차(%p)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[4.9.3] AI시티관제 플랫폼 연계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[4.10.3] 플랫폼 개발 진척사항 및 단위테스트 관리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[5.1] 통합 테스트(기능/연계)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[4.11.3] 플랫폼 개발 진척사항 및 단위테스트 관리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[4.2.2] 선정사와 협의를 통한 상세설계(아키텍처,서비스 시나리오, 인터페이스 정의)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-50%p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[5.3] 데이터 초기구축/검수/이관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[5.4] 교육·매뉴얼·운영절차 수립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[5.2] 성능/보안 테스트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[5.5] 시범운영(Pilot) 및 안정화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제일엔지니어링 PMO | </w:t>
    </w:r>
    <w:r>
      <w:rPr>
        <w:rFonts w:ascii="맑은 고딕" w:cs="맑은 고딕" w:eastAsia="맑은 고딕" w:hAnsi="맑은 고딕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아산시 강소형 스마트시티 | 주간 진도 보고서 W15 (04-06 ~ 04-10)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맑은 고딕" w:cs="맑은 고딕" w:eastAsia="맑은 고딕" w:hAnsi="맑은 고딕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2026-04-10T06:54:32.408Z</dcterms:created>
  <dcterms:modified xsi:type="dcterms:W3CDTF">2026-04-10T06:54:32.408Z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