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 2분기)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2026-04-10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52.3%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76.6%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D-265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2026년 2분기 기준 예산 집행률 41.21%, WBS 공정률 52.3%. 기간 소진율(76.6%) 대비 집행률 격차 35%p. 잔여 D-265일.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49.5억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인프라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🟢 완료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89건, 지연 10건.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89건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61건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50.9%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집행률 격차 35%p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대비 집행률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 발주 가속화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9건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 발주 진행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작업 만회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대형 미집행 사업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로드맵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성과지표 달성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성과지표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41.21%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52.3%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50.9%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구축 완료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175건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89건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51%</w:t>
            </w:r>
          </w:p>
        </w:tc>
      </w:tr>
    </w:tbl>
    <w:p>
      <w:pPr>
        <w:pStyle w:val="Heading2"/>
        <w:spacing w:before="200"/>
      </w:pPr>
      <w:r>
        <w:rPr>
          <w:rFonts w:ascii="맑은 고딕" w:cs="맑은 고딕" w:eastAsia="맑은 고딕" w:hAnsi="맑은 고딕"/>
        </w:rPr>
        <w:t xml:space="preserve">7-1. WBS Level-1 분류별 공정률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[9]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2분기 보고서 (2026년 2분기)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2026-04-10T12:01:07.883Z</dcterms:created>
  <dcterms:modified xsi:type="dcterms:W3CDTF">2026-04-10T12:01:07.883Z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