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 6월)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2026-06-02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42.08%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59.2%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81.3%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D-212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2026년 6월 기준 예산 집행률 42.08%, WBS 공정률 59.2%. 기간 소진율(81.3%) 대비 집행률 격차 39%p. 잔여 D-212일.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69.5억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42.08%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12.1억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16.7억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42.08%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38.4억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42.08%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101.0억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42.08%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98건, 지연 11건.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57건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56%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집행률 격차 39%p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대비 집행률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 발주 가속화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 발주 진행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작업 만회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대형 미집행 사업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로드맵 재설정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월별 관리카드 (2026년 6월)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2026-06-02T00:07:04.028Z</dcterms:created>
  <dcterms:modified xsi:type="dcterms:W3CDTF">2026-06-02T00:07:04.028Z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