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400"/>
        <w:jc w:val="center"/>
      </w:pPr>
      <w:r>
        <w:rPr>
          <w:rFonts w:ascii="맑은 고딕" w:cs="맑은 고딕" w:eastAsia="맑은 고딕" w:hAnsi="맑은 고딕"/>
          <w:b/>
          <w:bCs/>
          <w:color w:val="1B3A5C"/>
          <w:sz w:val="44"/>
          <w:szCs w:val="44"/>
        </w:rPr>
        <w:t xml:space="preserve">스마트시티 조성사업 월간 추진현황 보고</w:t>
      </w:r>
    </w:p>
    <w:p>
      <w:pPr>
        <w:spacing w:after="600"/>
        <w:jc w:val="center"/>
      </w:pPr>
      <w:r>
        <w:rPr>
          <w:rFonts w:ascii="맑은 고딕" w:cs="맑은 고딕" w:eastAsia="맑은 고딕" w:hAnsi="맑은 고딕"/>
          <w:color w:val="444444"/>
          <w:sz w:val="32"/>
          <w:szCs w:val="32"/>
        </w:rPr>
        <w:t xml:space="preserve">(2026년 3분기)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아산시 강소형 스마트시티 조성사업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사업위치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충청남도 아산시 도고면·배방읍 일원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사업기간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2023.12 ~ 2026.12 (3년, 12개월 연장)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총사업비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240억원 (국비 120억 · 도비 28.8억 · 시비 91.2억)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제출일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2026-07-02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제출처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아산시 스마트도시팀</w:t>
            </w:r>
          </w:p>
        </w:tc>
      </w:tr>
    </w:tbl>
    <w:p>
      <w:pPr>
        <w:spacing w:before="800"/>
        <w:jc w:val="center"/>
      </w:pPr>
      <w:r>
        <w:rPr>
          <w:rFonts w:ascii="맑은 고딕" w:cs="맑은 고딕" w:eastAsia="맑은 고딕" w:hAnsi="맑은 고딕"/>
          <w:b/>
          <w:bCs/>
          <w:color w:val="1B3A5C"/>
          <w:sz w:val="36"/>
          <w:szCs w:val="36"/>
        </w:rPr>
        <w:t xml:space="preserve">아 산 시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사업 총괄 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8"/>
        <w:gridCol w:w="2256"/>
      </w:tblGrid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예산 집행률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WBS 공정률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기간 소진율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D-Day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75B6"/>
                <w:sz w:val="18"/>
                <w:szCs w:val="18"/>
              </w:rPr>
              <w:t xml:space="preserve">42.52%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030A0"/>
                <w:sz w:val="18"/>
                <w:szCs w:val="18"/>
              </w:rPr>
              <w:t xml:space="preserve">65.5%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83.9%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D-182</w:t>
            </w:r>
          </w:p>
        </w:tc>
      </w:tr>
    </w:tbl>
    <w:p>
      <w:pPr>
        <w:spacing w:after="200"/>
      </w:pPr>
    </w:p>
    <w:p>
      <w:pPr>
        <w:shd w:fill="E8F4FD" w:val="clear"/>
        <w:spacing w:after="120" w:before="80"/>
      </w:pPr>
      <w:r>
        <w:rPr>
          <w:rFonts w:ascii="맑은 고딕" w:cs="맑은 고딕" w:eastAsia="맑은 고딕" w:hAnsi="맑은 고딕"/>
          <w:b/>
          <w:bCs/>
          <w:color w:val="0C5460"/>
          <w:sz w:val="18"/>
          <w:szCs w:val="18"/>
        </w:rPr>
        <w:t xml:space="preserve">💡 AI 분석: </w:t>
      </w:r>
      <w:r>
        <w:rPr>
          <w:rFonts w:ascii="맑은 고딕" w:cs="맑은 고딕" w:eastAsia="맑은 고딕" w:hAnsi="맑은 고딕"/>
          <w:color w:val="0C5460"/>
          <w:sz w:val="18"/>
          <w:szCs w:val="18"/>
        </w:rPr>
        <w:t xml:space="preserve">2026년 3분기 기준 예산 집행률 42.52%, WBS 공정률 65.5%. 기간 소진율(83.9%) 대비 집행률 격차 41%p. 잔여 D-182일.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2. 예산 집행 현황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2-1. 재원별 집행현황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26"/>
      </w:tblGrid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재원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총예산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집행액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잔액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집행률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국비(50%)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120.0억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51.0억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69.0억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42.52%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도비(12%)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28.8억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12.2억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16.6억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42.52%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시비(38%)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91.2억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38.8억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52.4억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42.52%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240.0억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102.1억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0.0억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42.52%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2-2. 비목별 집행현황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800"/>
        <w:gridCol w:w="1800"/>
        <w:gridCol w:w="1626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비목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예산(억)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집행(억)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잔액(억)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집행률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인건비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19.0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19.02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-0.0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100.0%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운영비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4.58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2.9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61.2%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0.89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0.4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68.8%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연구개발비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0.66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0.8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44.0%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유형자산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0.16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6.1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2.6%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무형자산(SW)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90.1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38.25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51.8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42.5%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건설비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99.3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23.49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75.8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23.6%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사업비배분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15.0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15.00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100.0%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세부사업별 추진현황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1300"/>
        <w:gridCol w:w="1300"/>
        <w:gridCol w:w="1300"/>
        <w:gridCol w:w="1826"/>
      </w:tblGrid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세부사업명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예산(억)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집행(억)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집행률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유무선 네트워크 구축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7.35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2.69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36.6%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🔵 진행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모바일 전자시민증(ECC)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5.46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45.5%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🔵 진행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이노베이션 센터 구축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⬜ 미착수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디지털 OASIS SPOT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0.37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0.9%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🔵 진행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SDDC Platform 구축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27.00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7.09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26.3%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🔵 진행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통합관제 플랫폼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9.29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58.1%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🔵 진행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디지털 OASIS 정보관리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22.60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10.93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48.4%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🔵 진행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DRT 수요응답형 교통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⬜ 미착수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감리용역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⬜ 미착수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스마트폴&amp;디스플레이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⬜ 미착수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메타버스 플랫폼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⬜ 미착수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디지털 노마드(NOP)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8.20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41.0%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🔵 진행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융복합 서비스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7.50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4.37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58.3%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🔵 진행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디지털링크 플랫폼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  <w:tc>
          <w:tcPr>
            <w:tcW w:type="dxa" w:w="1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⬜ 미착수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WBS 공정 현황</w:t>
      </w:r>
    </w:p>
    <w:p>
      <w:pPr>
        <w:shd w:fill="E8F4FD" w:val="clear"/>
        <w:spacing w:after="120"/>
      </w:pPr>
      <w:r>
        <w:rPr>
          <w:rFonts w:ascii="맑은 고딕" w:cs="맑은 고딕" w:eastAsia="맑은 고딕" w:hAnsi="맑은 고딕"/>
          <w:sz w:val="18"/>
          <w:szCs w:val="18"/>
        </w:rPr>
        <w:t xml:space="preserve">💡 </w:t>
      </w:r>
      <w:r>
        <w:rPr>
          <w:rFonts w:ascii="맑은 고딕" w:cs="맑은 고딕" w:eastAsia="맑은 고딕" w:hAnsi="맑은 고딕"/>
          <w:color w:val="0C5460"/>
          <w:sz w:val="18"/>
          <w:szCs w:val="18"/>
        </w:rPr>
        <w:t xml:space="preserve">전체 175건 중 완료 106건, 지연 11건.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6"/>
        <w:gridCol w:w="1504"/>
        <w:gridCol w:w="1504"/>
        <w:gridCol w:w="1504"/>
      </w:tblGrid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전체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진행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지연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대기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달성률</w:t>
            </w:r>
          </w:p>
        </w:tc>
      </w:tr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175건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106건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75B6"/>
                <w:sz w:val="18"/>
                <w:szCs w:val="18"/>
              </w:rPr>
              <w:t xml:space="preserve">49건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11건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9건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030A0"/>
                <w:sz w:val="18"/>
                <w:szCs w:val="18"/>
              </w:rPr>
              <w:t xml:space="preserve">60.6%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주요 이슈 및 대응현황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500"/>
        <w:gridCol w:w="3200"/>
        <w:gridCol w:w="2326"/>
      </w:tblGrid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수준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이슈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  <w:tc>
          <w:tcPr>
            <w:tcW w:type="dxa" w:w="2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대응방안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긴급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집행률 격차 41%p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기간소진율 대비 집행률 부족</w:t>
            </w:r>
          </w:p>
        </w:tc>
        <w:tc>
          <w:tcPr>
            <w:tcW w:type="dxa" w:w="2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미착수 사업 발주 가속화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주의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WBS 지연 10건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계획 대비 실적 미달</w:t>
            </w:r>
          </w:p>
        </w:tc>
        <w:tc>
          <w:tcPr>
            <w:tcW w:type="dxa" w:w="2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원인 분석 및 만회 계획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향후 추진계획</w:t>
      </w:r>
    </w:p>
    <w:p>
      <w:pPr>
        <w:pStyle w:val="ListParagraph"/>
        <w:numPr>
          <w:ilvl w:val="0"/>
          <w:numId w:val="2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미착수 사업 발주 진행</w:t>
      </w:r>
    </w:p>
    <w:p>
      <w:pPr>
        <w:pStyle w:val="ListParagraph"/>
        <w:numPr>
          <w:ilvl w:val="0"/>
          <w:numId w:val="2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지연 작업 만회 계획 수립</w:t>
      </w:r>
    </w:p>
    <w:p>
      <w:pPr>
        <w:pStyle w:val="ListParagraph"/>
        <w:numPr>
          <w:ilvl w:val="0"/>
          <w:numId w:val="2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월간 집행 실적 점검</w:t>
      </w:r>
    </w:p>
    <w:p>
      <w:pPr>
        <w:spacing w:after="12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6-1. PMO 권고사항</w:t>
      </w:r>
    </w:p>
    <w:p>
      <w:pPr>
        <w:pStyle w:val="ListParagraph"/>
        <w:numPr>
          <w:ilvl w:val="0"/>
          <w:numId w:val="2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대형 미집행 사업 발주 가속화</w:t>
      </w:r>
    </w:p>
    <w:p>
      <w:pPr>
        <w:pStyle w:val="ListParagraph"/>
        <w:numPr>
          <w:ilvl w:val="0"/>
          <w:numId w:val="2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비목간 전용 검토</w:t>
      </w:r>
    </w:p>
    <w:p>
      <w:pPr>
        <w:pStyle w:val="ListParagraph"/>
        <w:numPr>
          <w:ilvl w:val="0"/>
          <w:numId w:val="2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준공 로드맵 재설정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7. 성과지표 달성 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026"/>
      </w:tblGrid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성과지표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실적</w:t>
            </w:r>
          </w:p>
        </w:tc>
        <w:tc>
          <w:tcPr>
            <w:tcW w:type="dxa" w:w="2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달성률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예산 집행률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42.52%</w:t>
            </w:r>
          </w:p>
        </w:tc>
        <w:tc>
          <w:tcPr>
            <w:tcW w:type="dxa" w:w="2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42.52%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WBS 공정률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65.5%</w:t>
            </w:r>
          </w:p>
        </w:tc>
        <w:tc>
          <w:tcPr>
            <w:tcW w:type="dxa" w:w="2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60.6%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서비스 구축 완료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175건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106건</w:t>
            </w:r>
          </w:p>
        </w:tc>
        <w:tc>
          <w:tcPr>
            <w:tcW w:type="dxa" w:w="2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61%</w:t>
            </w:r>
          </w:p>
        </w:tc>
      </w:tr>
    </w:tbl>
    <w:p>
      <w:pPr>
        <w:pStyle w:val="Heading2"/>
        <w:spacing w:before="200"/>
      </w:pPr>
      <w:r>
        <w:rPr>
          <w:rFonts w:ascii="맑은 고딕" w:cs="맑은 고딕" w:eastAsia="맑은 고딕" w:hAnsi="맑은 고딕"/>
        </w:rPr>
        <w:t xml:space="preserve">7-1. WBS Level-1 분류별 공정률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1500"/>
        <w:gridCol w:w="1500"/>
        <w:gridCol w:w="1626"/>
      </w:tblGrid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분류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가중치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계획(%)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실적(%)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편차(%p)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[2] 실시설계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0%p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[3] 나라장터 발주 지원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98%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-2%p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[1] 프로젝트 관리/거버넌스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81%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81%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0%p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[4] 서비스 구축(앱/웹/플랫폼) 구축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63%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84%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59%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-25%p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[7] 구축 완료 후 운영(3년)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2.5%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+40%p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[6] 준공·검수·인수인계·이관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0%p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[5] 통합시험·시범운영·안정화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0%p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아산시 스마트도시팀 | 제일엔지니어링 PMO | </w:t>
    </w:r>
    <w:r>
      <w:rPr>
        <w:rFonts w:ascii="맑은 고딕" w:cs="맑은 고딕" w:eastAsia="맑은 고딕" w:hAnsi="맑은 고딕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아산시 스마트시티 | 3분기 보고서 (2026년 3분기)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맑은 고딕" w:cs="맑은 고딕" w:eastAsia="맑은 고딕" w:hAnsi="맑은 고딕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2026-07-02T00:00:49.165Z</dcterms:created>
  <dcterms:modified xsi:type="dcterms:W3CDTF">2026-07-02T00:00:49.165Z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