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2E5496"/>
          <w:sz w:val="22"/>
          <w:szCs w:val="22"/>
        </w:rPr>
        <w:t xml:space="preserve">아산시 강소형 스마트시티 조성사업</w:t>
      </w:r>
    </w:p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준공서류 확보 현황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2026.09.07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사업기간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2023.12.11 ~ 2026.12.31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㈜제일엔지니어링종합건축사사무소 PMO / 상무 이성호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Ⅰ. 총괄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1735"/>
        <w:gridCol w:w="1542"/>
        <w:gridCol w:w="1542"/>
        <w:gridCol w:w="1542"/>
        <w:gridCol w:w="1543"/>
      </w:tblGrid>
      <w:tr>
        <w:trPr>
          <w:tblHeader/>
        </w:trPr>
        <w:tc>
          <w:tcPr>
            <w:tcW w:type="dxa" w:w="173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구　분</w:t>
            </w:r>
          </w:p>
        </w:tc>
        <w:tc>
          <w:tcPr>
            <w:tcW w:type="dxa" w:w="173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단위공사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필수문서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확보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확보율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전　체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12건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78종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0종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78종</w:t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0.0%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7"/>
          <w:szCs w:val="17"/>
        </w:rPr>
        <w:t xml:space="preserve">※ 준공검사 완료 후에도 필수문서가 결손이면 정산 검증에서 지적됨(검증규칙 R-09)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Ⅱ. 단위공사별 현황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2"/>
        <w:gridCol w:w="1362"/>
        <w:gridCol w:w="2724"/>
        <w:gridCol w:w="1048"/>
        <w:gridCol w:w="1676"/>
        <w:gridCol w:w="838"/>
        <w:gridCol w:w="839"/>
      </w:tblGrid>
      <w:tr>
        <w:trPr>
          <w:tblHeader/>
        </w:trPr>
        <w:tc>
          <w:tcPr>
            <w:tcW w:type="dxa" w:w="115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준공ID</w:t>
            </w:r>
          </w:p>
        </w:tc>
        <w:tc>
          <w:tcPr>
            <w:tcW w:type="dxa" w:w="136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272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단위공사</w:t>
            </w:r>
          </w:p>
        </w:tc>
        <w:tc>
          <w:tcPr>
            <w:tcW w:type="dxa" w:w="1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유형</w:t>
            </w:r>
          </w:p>
        </w:tc>
        <w:tc>
          <w:tcPr>
            <w:tcW w:type="dxa" w:w="16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수행사</w:t>
            </w:r>
          </w:p>
        </w:tc>
        <w:tc>
          <w:tcPr>
            <w:tcW w:type="dxa" w:w="83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진도</w:t>
            </w:r>
          </w:p>
        </w:tc>
        <w:tc>
          <w:tcPr>
            <w:tcW w:type="dxa" w:w="839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CP-2026-0001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건축·토목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0/9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CP-2026-0002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건축·토목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0/9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CP-2026-0003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CP-2026-0004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CP-2026-0005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99%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CP-2026-0006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99%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CP-2026-0007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99%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CP-2026-0008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CP-2026-0009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SW·플랫폼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CP-2026-0010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용역·연구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0/4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CP-2026-0011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용역·연구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0/4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CP-2026-0012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운영인계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0/3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Ⅲ. 결손 문서 상세</w:t>
      </w:r>
    </w:p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디지털 OASIS SPOT 이동형 스마트주택 조성  (CP-2026-0001)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OASIS SPOT 부지 조성 및 용도변경  (CP-2026-0002)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아산 이노베이션 스퀘어 구축  (CP-2026-0003)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이노베이션센터 장비실 냉방시설 구축  (CP-2026-0004)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스마트폴 구축  (CP-2026-0005)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무인매장 구축  (CP-2026-0006)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유·무선 통신망 구축  (CP-2026-0007)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수요응답형 교통(DRT) 구축  (CP-2026-0008)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서비스 인프라(AI 융합플랫폼) 구축  (CP-2026-0009)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요구사항추적표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시험결과서(UAT)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산출물인수확인서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서비스 인프라 구축 감리  (CP-2026-0010)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연구·리빙랩 (충남연구원·KAIST·호서대)  (CP-2026-0011)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시설물 인계·인수 및 운영 개시  (CP-2026-0012)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교육실시확인서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ageBreakBefore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/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붙임. 유형별 준공 필수문서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건축·토목 (9종)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준공보고서 · 준공검사원 · 준공검사조서 · 준공도서 · 준공사진첩 · 하자보수보증증권 · 시설물인계인수서 · 사용승인서 · 감리완료보고서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ICT구축 (7종)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준공보고서 · 검수조서 · 시운전결과보고서 · 성능시험성적서 · 자산등재목록 · 정보보호점검결과 · 유지관리매뉴얼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SW·플랫폼 (7종)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준공보고서 · 검수조서 · 요구사항추적표 · 시험결과서(UAT) · 산출물인수확인서 · 정보보호점검결과 · 운영매뉴얼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용역·연구 (4종)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최종보고서 · 검수조서 · 심의결과서 · 성과물귀속확인서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물품 (3종)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거래명세서 · 검수조서 · 물품취득대장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운영인계 (3종)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시설물인계인수서 · 운영매뉴얼 · 교육실시확인서</w:t>
      </w: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2026-09-07T04:53:42.620Z</dcterms:created>
  <dcterms:modified xsi:type="dcterms:W3CDTF">2026-09-07T04:53:42.620Z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