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4"/>
          <w:szCs w:val="34"/>
        </w:rPr>
        <w:t xml:space="preserve">㈜제일엔지니어링종합건축사사무소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9"/>
      </w:tblGrid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제일ENG-스마트시티-2026-　　호  (2026. 8. 27.)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수　　신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아산시장 (도시계획과 스마트도시팀)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참　　조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스마트도시팀장 이현경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제　　목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아산시 강소형 스마트시티 조성사업 준공·정산 기준 확인 요청 및 국토교통부 질의 협조 요청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20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관련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가. 「보조금 관리에 관한 법률」 제27조 및 같은 법 시행령 제12조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나. 「국고보조금 통합관리지침」 제25조·제26조·제27조·제28조·제46조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다. 아산시–㈜제일엔지니어링종합건축사사무소 보조사업 협약서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위 사업의 사업기간 종료(2026. 12. 31.)에 따라 준공 및 정산 업무를 착수하였으며, 정산 기준 확정을 위하여 아래와 같이 확인을 요청드립니다.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정산 기준 확정이 시급한 사유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가. 실적보고서·정산보고서 제출기한은 사업 완료일로부터 민간 보조사업자 2개월, 지방자치단체 3개월로 법정화되어 있어(시행령 제12조제1항), 준공 기준시점이 확정되어야 제출 일정 역산이 가능함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나. 정산보고서 지연 제출 시 「국고보조금 통합관리지침」 제27조제3항에 따라 지연 기간에 따라 보조금이 삭감(3개월 10%, 6개월 20%, 12개월 50% 이내)될 수 있음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다. 정산보고서 검증기관은 사업기간 종료 전 선정·계약이 필요하며, 검증 대상 여부가 확정되지 않으면 용역 발주가 불가함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라. 중요재산 취득보고는 취득 후 15일 이내가 법정 기한이므로(지침 제46조제1항), 자산 귀속주체 확정이 준공에 선행되어야 함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4. 확인 요청 사항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가. 아산시 자체 확인사항 5건 (붙임 1)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나. 국토교통부 질의 필요사항 7건 (붙임 2) — 본 건은 당사가 간접보조사업자로서 중앙관서에 직접 질의할 수 없으므로, 보조사업자인 아산시 명의로 질의하여 주시기를 요청드림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5. 회신 요청 기한 : 2026. 9. 30.(화)</w:t>
      </w:r>
    </w:p>
    <w:p>
      <w:pPr>
        <w:spacing w:after="40" w:before="40" w:line="300"/>
        <w:ind w:left="4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상기 기한 내 회신이 어려운 경우, 항목별 예상 회신 시기를 먼저 통보하여 주시기 바랍니다.</w:t>
      </w:r>
    </w:p>
    <w:p>
      <w:pPr>
        <w:spacing w:after="40" w:before="22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붙임  1. 아산시 확인 요청사항  1부.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　　　 2. 국토교통부 질의(안)  1부.  끝.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㈜제일엔지니어링종합건축사사무소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상무  이 성 호　　(직인생략)</w:t>
      </w:r>
    </w:p>
    <w:p>
      <w:pPr>
        <w:pageBreakBefore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붙임 1</w:t>
      </w:r>
    </w:p>
    <w:p>
      <w:pPr>
        <w:spacing w:after="24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아산시 확인 요청사항</w:t>
      </w:r>
    </w:p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1-1.  2026년도 교부액(국비·지방비) 확정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제18조(보조금의 교부 결정), 통합관리지침 제17조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집행결과 제출 양식상 2024년 12,550백만원, 2025년 7,550백만원의 교부 내역은 확인되나, 2026년도 교부액이 확정 통보되지 않아 총괄명세서의 재원별 집계가 불가함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2026년도 국비·지방비(도비·시비) 교부액 및 교부결정통지서 사본을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교부결정통지서 원본 확보 시까지 당사는 정산 기준정보를 "미확정"으로 관리하고 있으며, 확정 전까지 정산보고서 산출을 차단하고 있음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1-2.  기관별 교부액 확정 및 정산보고서 검증 대상 판정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보조금법 시행령 제12조의2제2항(보조금 총액 1억원 이상 시 검증 의무)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정산보고서 검증 의무는 기관별 교부 보조금 총액을 기준으로 판단하나, 컨소시엄 4개 기관(제일엔지니어링·호서대학교 산학협력단·충남연구원·한국과학기술원)의 사업 전체 기간 누적 교부액이 확정되지 않아 검증 대상 여부를 확정할 수 없음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기관별 사업기간 전체 누적 교부액을 확정하여 회신하여 주시고, 검증 대상 기관을 지정하여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4개 기관 모두 1억원을 초과할 것으로 예상되어 전 기관 검증 대상으로 보고 준비 중이며, 검증기관은 컨소시엄 공동 선정 시 비용·일정 효율이 높아 이를 제안드림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1-3.  낙찰차액 및 예비비 잔액 처리방침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제17조제1항, 제26조제1항·제3항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유·무선 네트워크 구축 용역 등에서 낙찰차액이 발생하였고, 디지털 OASIS SPOT 이동형 스마트주택 조성공사의 반복 유찰로 추가 차액 발생이 예상됨. 낙찰차액은 사업계획 변경승인 없이 타 용도로 사용할 수 없으며, 미사용 시 전액 반납 대상임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낙찰차액 및 예비비 잔액을 ① 사업계획 변경승인을 통해 사업 내 재투입할 것인지, ② 집행잔액으로 반납할 것인지 방침을 확정하여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재투입을 선택하는 경우 변경승인 절차에 상당 기간이 소요되므로 2026. 10월 이전 결정이 필요하며, 그 이후에는 반납 외 선택지가 사실상 없음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1-4.  부가가치세 환급금 처리방침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통합관리지침 제26조제2항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보조사업 관련 부가가치세 환급금은 세외수입으로 계상함이 원칙이며, 사업에 재투자하려면 사업계획에 사전 반영하거나 변경 절차를 거쳐야 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부가가치세 환급금을 세외수입으로 처리할 것인지, 사업 재투자할 것인지 방침을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현재 사업계획에 재투자 계획이 반영되어 있지 않으므로 세외수입 계상을 전제로 정산 준비 중임</w:t>
            </w:r>
          </w:p>
        </w:tc>
      </w:tr>
    </w:tbl>
    <w:p>
      <w:pPr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질의 1-5.  준공 후 3년 운영단계(2027~2029) 시작시점 및 운영예산 확보 일정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구　분</w:t>
            </w:r>
          </w:p>
        </w:tc>
        <w:tc>
          <w:tcPr>
            <w:tcW w:type="dxa" w:w="819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내　　　　　　　　　용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관련 규정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협약서 제5조제1항·제8조제1항·제14조제2항, 국토교통부 공모지침(사업 종료 후 3년 계속 운영 의무)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배경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운영단계 예산은 아산시 의회 예산 의결이 선행되어야 하며, 2027년 1분기 운영 개시를 위해서는 2026년 4분기 중 조례 제정 및 본예산 반영이 필요함. 또한 준공 시점에 시설물 인계·인수와 운영주체 지정이 완료되어야 중요재산 보고가 가능함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질의 사항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① 3년 운영의무의 기산 시점, ② 2027년도 운영예산 확보 일정, ③ 시설별 운영주체 지정 계획을 회신하여 주시기 바랍니다.</w:t>
            </w:r>
          </w:p>
        </w:tc>
      </w:tr>
      <w:tr>
        <w:tc>
          <w:tcPr>
            <w:tcW w:type="dxa" w:w="144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81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운영주체가 확정되지 않으면 중요재산 관리주체를 기재할 수 없어 취득보고(15일 이내)가 지연되므로, 준공검사 이전 확정이 필요함</w:t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붙임 2</w:t>
      </w:r>
    </w:p>
    <w:p>
      <w:pPr>
        <w:spacing w:after="2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국토교통부 질의(안)</w:t>
      </w:r>
    </w:p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9"/>
          <w:szCs w:val="19"/>
        </w:rPr>
        <w:t xml:space="preserve">※ 별첨 문서 「국토교통부 질의(안)」 참조 — 아산시 명의로 시행 요청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2026-08-27T05:47:04.196Z</dcterms:created>
  <dcterms:modified xsi:type="dcterms:W3CDTF">2026-08-27T05:47:04.208Z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