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6"/>
          <w:szCs w:val="16"/>
        </w:rPr>
        <w:t xml:space="preserve">[별지 제3호서식]</w:t>
      </w:r>
    </w:p>
    <w:p>
      <w:pPr>
        <w:spacing w:after="260" w:before="120"/>
        <w:jc w:val="center"/>
      </w:pPr>
      <w:r>
        <w:rPr>
          <w:rFonts w:ascii="맑은 고딕" w:cs="맑은 고딕" w:eastAsia="맑은 고딕" w:hAnsi="맑은 고딕"/>
          <w:b/>
          <w:bCs/>
          <w:spacing w:val="80"/>
          <w:sz w:val="34"/>
          <w:szCs w:val="34"/>
        </w:rPr>
        <w:t xml:space="preserve">보조비목·보조세목별 총괄명세서</w:t>
      </w:r>
    </w:p>
    <w:p>
      <w:pPr>
        <w:shd w:fill="FFF2CC" w:color="auto" w:val="clear"/>
        <w:spacing w:after="160"/>
      </w:pP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※ [초안] 기준정보 미확정: 총사업비 / 재원 미구분 2,364건 — 보조금으로 잠정 분류됨 — 확정 후 재생성 필요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277"/>
        <w:gridCol w:w="1542"/>
        <w:gridCol w:w="3278"/>
      </w:tblGrid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보조사업자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㈜제일엔지니어링종합건축사사무소</w:t>
            </w:r>
          </w:p>
        </w:tc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사 업 명</w:t>
            </w:r>
          </w:p>
        </w:tc>
        <w:tc>
          <w:tcPr>
            <w:tcW w:type="dxa" w:w="327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'23년 강소형 아산시 스마트시티 조성사업</w:t>
            </w:r>
          </w:p>
        </w:tc>
      </w:tr>
    </w:tbl>
    <w:p>
      <w:pPr>
        <w:spacing w:after="40" w:before="100" w:line="300"/>
        <w:jc w:val="righ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6"/>
          <w:szCs w:val="16"/>
        </w:rPr>
        <w:t xml:space="preserve">(단위: 원)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1735"/>
        <w:gridCol w:w="1735"/>
        <w:gridCol w:w="1735"/>
        <w:gridCol w:w="1735"/>
        <w:gridCol w:w="1157"/>
      </w:tblGrid>
      <w:tr>
        <w:trPr>
          <w:tblHeader/>
        </w:trPr>
        <w:tc>
          <w:tcPr>
            <w:tcW w:type="dxa" w:w="1542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보조비목</w:t>
            </w:r>
          </w:p>
        </w:tc>
        <w:tc>
          <w:tcPr>
            <w:tcW w:type="dxa" w:w="1735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보조세목</w:t>
            </w:r>
          </w:p>
        </w:tc>
        <w:tc>
          <w:tcPr>
            <w:tcW w:type="dxa" w:w="1735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예산액(A)</w:t>
            </w:r>
          </w:p>
        </w:tc>
        <w:tc>
          <w:tcPr>
            <w:tcW w:type="dxa" w:w="1735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집행액(B)</w:t>
            </w:r>
          </w:p>
        </w:tc>
        <w:tc>
          <w:tcPr>
            <w:tcW w:type="dxa" w:w="1735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잔액(A-B)</w:t>
            </w:r>
          </w:p>
        </w:tc>
        <w:tc>
          <w:tcPr>
            <w:tcW w:type="dxa" w:w="1157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집행률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1,532,733,000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1,532,733,000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100.0%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368,767,000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368,767,000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100.0%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315,400,000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128,656,328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186,743,672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40.8%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공공요금및제세(02)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36,100,000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20,194,190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15,905,810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55.9%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13,524,000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6,476,000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67.6%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182,000,000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182,000,000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100.0%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일반용역비(14)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195,000,000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144,534,545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50,465,455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74.1%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106,737,841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23,262,159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82.1%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연구개발비(260)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연구개발비(01)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150,000,000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90,000,000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40.0%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1,500,000,000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1,500,000,000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100.0%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9,935,000,000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2,644,087,597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7,290,912,403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26.6%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유형자산(430)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자산취득비(01)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625,000,000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16,413,534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608,586,466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2.6%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9,010,000,000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4,239,150,000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4,770,850,000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47.0%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합　계</w:t>
            </w:r>
          </w:p>
        </w:tc>
        <w:tc>
          <w:tcPr>
            <w:tcW w:type="dxa" w:w="1735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24,000,000,000</w:t>
            </w:r>
          </w:p>
        </w:tc>
        <w:tc>
          <w:tcPr>
            <w:tcW w:type="dxa" w:w="1735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10,956,798,035</w:t>
            </w:r>
          </w:p>
        </w:tc>
        <w:tc>
          <w:tcPr>
            <w:tcW w:type="dxa" w:w="1735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13,043,201,965</w:t>
            </w:r>
          </w:p>
        </w:tc>
        <w:tc>
          <w:tcPr>
            <w:tcW w:type="dxa" w:w="1157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45.7%</w:t>
            </w:r>
          </w:p>
        </w:tc>
      </w:tr>
    </w:tbl>
    <w:p>
      <w:pPr>
        <w:spacing w:after="40" w:before="8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6"/>
          <w:szCs w:val="16"/>
        </w:rPr>
        <w:t xml:space="preserve">※ 집행액은 검토상태 [확정, 제출완료, 검토중, 보완필요] 2,364건의 합계임</w:t>
      </w:r>
    </w:p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2026-09-06T23:58:20.557Z</dcterms:created>
  <dcterms:modified xsi:type="dcterms:W3CDTF">2026-09-06T23:58:20.557Z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