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제1호서식]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실적보고서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세부사업명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소관부처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전담기관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한국스마트도시협회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2026. 09. 07.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 개요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7518"/>
      </w:tblGrid>
      <w:tr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사업목적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추진방법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7"/>
          <w:szCs w:val="17"/>
        </w:rPr>
        <w:t xml:space="preserve">  단위사업 9종(디지털 OASIS SPOT·이노베이션 스퀘어·스마트폴·무인매장·유무선통신망·DRT·AI융합플랫폼·연구리빙랩·사업관리)을 컨소시엄 5개 기관이 분담 수행</w:t>
      </w:r>
    </w:p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추진실적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7"/>
          <w:szCs w:val="17"/>
        </w:rPr>
        <w:t xml:space="preserve">  총사업비 24,000,000,000원 중 10,956,798,035원 집행(45.7%). 증빙 2,364건. 중요재산 취득 진행 중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5"/>
          <w:szCs w:val="15"/>
        </w:rPr>
        <w:t xml:space="preserve">  ※ 세부 추진실적은 별도 기재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사업성과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5"/>
          <w:szCs w:val="15"/>
        </w:rPr>
        <w:t xml:space="preserve">  ※ 협약 성과지표 달성 결과 기재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성과 활용계획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5"/>
          <w:szCs w:val="15"/>
        </w:rPr>
        <w:t xml:space="preserve">  ※ 준공 후 3년 운영단계(2027~2029) 활용계획 기재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수행목표 대비 실적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1542"/>
        <w:gridCol w:w="1542"/>
        <w:gridCol w:w="1349"/>
        <w:gridCol w:w="2314"/>
      </w:tblGrid>
      <w:tr>
        <w:trPr>
          <w:tblHeader/>
        </w:trPr>
        <w:tc>
          <w:tcPr>
            <w:tcW w:type="dxa" w:w="289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성과지표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목표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실적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달성률</w:t>
            </w:r>
          </w:p>
        </w:tc>
        <w:tc>
          <w:tcPr>
            <w:tcW w:type="dxa" w:w="2314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협약 성과지표를 기재하고 측정 결과를 첨부함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사업비 집행결과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사업비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5,574,182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5,382,616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46.5%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44.9%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세부 집행내역은 정산보고서 별지 제3호·제4호서식에 따름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보조사업 실적을 위와 같이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2026. 09. 07.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2026-09-07T05:15:18.755Z</dcterms:created>
  <dcterms:modified xsi:type="dcterms:W3CDTF">2026-09-07T05:15:18.755Z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