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[별지 제3호서식]</w:t>
      </w:r>
    </w:p>
    <w:p>
      <w:pPr>
        <w:spacing w:after="260" w:before="120"/>
        <w:jc w:val="center"/>
      </w:pPr>
      <w:r>
        <w:rPr>
          <w:rFonts w:ascii="맑은 고딕" w:cs="맑은 고딕" w:eastAsia="맑은 고딕" w:hAnsi="맑은 고딕"/>
          <w:b/>
          <w:bCs/>
          <w:spacing w:val="80"/>
          <w:sz w:val="34"/>
          <w:szCs w:val="34"/>
        </w:rPr>
        <w:t xml:space="preserve">보조비목·보조세목별 총괄명세서</w:t>
      </w:r>
    </w:p>
    <w:p>
      <w:pPr>
        <w:shd w:fill="FFF2CC" w:color="auto" w:val="clear"/>
        <w:spacing w:after="160"/>
      </w:pPr>
      <w:r>
        <w:rPr>
          <w:rFonts w:ascii="맑은 고딕" w:cs="맑은 고딕" w:eastAsia="맑은 고딕" w:hAnsi="맑은 고딕"/>
          <w:b/>
          <w:bCs/>
          <w:color w:val="C00000"/>
          <w:sz w:val="16"/>
          <w:szCs w:val="16"/>
        </w:rPr>
        <w:t xml:space="preserve">※ [초안] 기준정보 미확정: 총사업비 — 확정 후 재생성 필요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1542"/>
        <w:gridCol w:w="3278"/>
      </w:tblGrid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보조사업자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㈜제일엔지니어링종합건축사사무소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 업 명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'23년 강소형 아산시 스마트시티 조성사업</w:t>
            </w:r>
          </w:p>
        </w:tc>
      </w:tr>
    </w:tbl>
    <w:p>
      <w:pPr>
        <w:spacing w:after="40" w:before="100" w:line="30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6"/>
          <w:szCs w:val="16"/>
        </w:rPr>
        <w:t xml:space="preserve">(단위: 원)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735"/>
        <w:gridCol w:w="1735"/>
        <w:gridCol w:w="1735"/>
        <w:gridCol w:w="1735"/>
        <w:gridCol w:w="1157"/>
      </w:tblGrid>
      <w:tr>
        <w:trPr>
          <w:tblHeader/>
        </w:trPr>
        <w:tc>
          <w:tcPr>
            <w:tcW w:type="dxa" w:w="1542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보조비목</w:t>
            </w:r>
          </w:p>
        </w:tc>
        <w:tc>
          <w:tcPr>
            <w:tcW w:type="dxa" w:w="1735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보조세목</w:t>
            </w:r>
          </w:p>
        </w:tc>
        <w:tc>
          <w:tcPr>
            <w:tcW w:type="dxa" w:w="1735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예산액(A)</w:t>
            </w:r>
          </w:p>
        </w:tc>
        <w:tc>
          <w:tcPr>
            <w:tcW w:type="dxa" w:w="1735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집행액(B)</w:t>
            </w:r>
          </w:p>
        </w:tc>
        <w:tc>
          <w:tcPr>
            <w:tcW w:type="dxa" w:w="1735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잔액(A-B)</w:t>
            </w:r>
          </w:p>
        </w:tc>
        <w:tc>
          <w:tcPr>
            <w:tcW w:type="dxa" w:w="1157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집행률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보수(01)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1,532,733,000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1,532,733,000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인건비(110)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기타직보수(02)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368,767,000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368,767,000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일반수용비(01)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315,400,000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128,656,328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186,743,672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40.8%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공공요금및제세(02)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36,100,000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20,194,190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15,905,810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55.9%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임차료(07)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13,524,000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6,476,000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67.6%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복리후생비(12)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182,000,000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일반용역비(14)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195,000,000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144,534,545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50,465,455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74.1%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여비(220)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국내여비(01)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130,000,000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106,737,841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23,262,159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82.1%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연구개발비(260)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연구개발비(01)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150,000,000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90,000,000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40.0%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민간이전(320)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민간경상보조(01)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1,500,000,000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1,500,000,000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건설비(420)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시설비(03)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9,935,000,000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2,644,087,597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7,290,912,403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26.6%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유형자산(430)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자산취득비(01)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625,000,000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16,413,534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608,586,466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2.6%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무형자산(440)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무형자산(01)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9,010,000,000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4,239,150,000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4,770,850,000</w:t>
            </w:r>
          </w:p>
        </w:tc>
        <w:tc>
          <w:tcPr>
            <w:tcW w:type="dxa" w:w="115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47.0%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합　계</w:t>
            </w:r>
          </w:p>
        </w:tc>
        <w:tc>
          <w:tcPr>
            <w:tcW w:type="dxa" w:w="173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73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24,000,000,000</w:t>
            </w:r>
          </w:p>
        </w:tc>
        <w:tc>
          <w:tcPr>
            <w:tcW w:type="dxa" w:w="173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10,956,798,035</w:t>
            </w:r>
          </w:p>
        </w:tc>
        <w:tc>
          <w:tcPr>
            <w:tcW w:type="dxa" w:w="173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13,043,201,965</w:t>
            </w:r>
          </w:p>
        </w:tc>
        <w:tc>
          <w:tcPr>
            <w:tcW w:type="dxa" w:w="1157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45.7%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※ 집행액은 검토상태 [확정, 제출완료, 검토중, 보완필요] 2,364건의 합계임</w:t>
      </w:r>
    </w:p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2026-09-07T05:15:18.966Z</dcterms:created>
  <dcterms:modified xsi:type="dcterms:W3CDTF">2026-09-07T05:15:18.966Z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