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검 수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수요응답형 교통(DRT)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(미발주)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(계약 확정 후 기재)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2026-12-31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검수 내역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3181"/>
        <w:gridCol w:w="2313"/>
        <w:gridCol w:w="964"/>
        <w:gridCol w:w="964"/>
        <w:gridCol w:w="1542"/>
      </w:tblGrid>
      <w:tr>
        <w:trPr>
          <w:tblHeader/>
        </w:trPr>
        <w:tc>
          <w:tcPr>
            <w:tcW w:type="dxa" w:w="675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318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품명 / 항목</w:t>
            </w:r>
          </w:p>
        </w:tc>
        <w:tc>
          <w:tcPr>
            <w:tcW w:type="dxa" w:w="231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규격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</w:t>
            </w:r>
          </w:p>
        </w:tc>
        <w:tc>
          <w:tcPr>
            <w:tcW w:type="dxa" w:w="964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수량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검수결과</w:t>
            </w:r>
          </w:p>
        </w:tc>
      </w:tr>
      <w:tr>
        <w:tc>
          <w:tcPr>
            <w:tcW w:type="dxa" w:w="675"/>
            <w:gridSpan w:val="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888888"/>
                <w:sz w:val="18"/>
                <w:szCs w:val="18"/>
              </w:rPr>
              <w:t xml:space="preserve">자산관리 시스템에 등록된 취득자산이 없습니다. 취득 후 자동 반영됩니다.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검수 확인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976"/>
        <w:gridCol w:w="1542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 항목</w:t>
            </w:r>
          </w:p>
        </w:tc>
        <w:tc>
          <w:tcPr>
            <w:tcW w:type="dxa" w:w="5976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내　　용</w:t>
            </w:r>
          </w:p>
        </w:tc>
        <w:tc>
          <w:tcPr>
            <w:tcW w:type="dxa" w:w="1542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확인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납품·설치 완료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수량 전량 납품 및 설치 완료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규격 일치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 규격과 실물 일치(모델·S/N 대조)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정상 작동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전원 인가 및 기능 동작 확인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부속·매뉴얼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부속품·운영매뉴얼·보증서 인수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자산 등재</w:t>
            </w:r>
          </w:p>
        </w:tc>
        <w:tc>
          <w:tcPr>
            <w:tcW w:type="dxa" w:w="597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중요재산 대장 등재 및 라벨 부착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□</w:t>
            </w:r>
          </w:p>
        </w:tc>
      </w:tr>
    </w:tbl>
    <w:p>
      <w:pPr>
        <w:spacing w:after="40" w:before="80" w:line="300"/>
        <w:jc w:val="left"/>
      </w:pPr>
      <w:r>
        <w:rPr>
          <w:rFonts w:ascii="맑은 고딕" w:cs="맑은 고딕" w:eastAsia="맑은 고딕" w:hAnsi="맑은 고딕"/>
          <w:b w:val="false"/>
          <w:bCs w:val="false"/>
          <w:color w:val="C00000"/>
          <w:sz w:val="17"/>
          <w:szCs w:val="17"/>
        </w:rPr>
        <w:t xml:space="preserve">※ 취득가액 50만원 초과 자산은 취득 후 15일 이내 중요재산 보고 의무(통합관리지침 §46①)</w:t>
      </w:r>
    </w:p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검수하였음을 확인합니다.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검수자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2026-09-07T05:15:24.267Z</dcterms:created>
  <dcterms:modified xsi:type="dcterms:W3CDTF">2026-09-07T05:15:24.267Z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