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맑은 고딕" w:cs="맑은 고딕" w:eastAsia="맑은 고딕" w:hAnsi="맑은 고딕"/>
          <w:b/>
          <w:bCs/>
          <w:color w:val="2E5496"/>
          <w:sz w:val="32"/>
          <w:szCs w:val="32"/>
        </w:rPr>
        <w:t xml:space="preserve">아산시 강소형 스마트시티 조성사업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8"/>
          <w:szCs w:val="48"/>
        </w:rPr>
        <w:t xml:space="preserve">준공 · 정산 종합 가이드라인</w:t>
      </w:r>
    </w:p>
    <w:p>
      <w:pPr>
        <w:spacing w:after="14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(v1.0 / 실무 기준안)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7518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751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용</w:t>
            </w:r>
          </w:p>
        </w:tc>
      </w:tr>
      <w:tr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사업명</w:t>
            </w:r>
          </w:p>
        </w:tc>
        <w:tc>
          <w:tcPr>
            <w:tcW w:type="dxa" w:w="75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아산시 강소형 스마트시티 조성사업(디지털 OASIS)</w:t>
            </w:r>
          </w:p>
        </w:tc>
      </w:tr>
      <w:tr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사업기간</w:t>
            </w:r>
          </w:p>
        </w:tc>
        <w:tc>
          <w:tcPr>
            <w:tcW w:type="dxa" w:w="75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2023. 12. ~ 2026. 12. 31.  ※ 협약서 원문 확인 후 확정</w:t>
            </w:r>
          </w:p>
        </w:tc>
      </w:tr>
      <w:tr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총사업비</w:t>
            </w:r>
          </w:p>
        </w:tc>
        <w:tc>
          <w:tcPr>
            <w:tcW w:type="dxa" w:w="75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24,000백만원(국비 50% / 시비 38% / 도비 12%)  ※ 협약 기준 재확인</w:t>
            </w:r>
          </w:p>
        </w:tc>
      </w:tr>
      <w:tr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수행체계</w:t>
            </w:r>
          </w:p>
        </w:tc>
        <w:tc>
          <w:tcPr>
            <w:tcW w:type="dxa" w:w="75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아산시(사업기관) — 제일엔지니어링(PMO·직접보조사업자) — 호서대·충남연구원·KAIST(간접보조사업자)</w:t>
            </w:r>
          </w:p>
        </w:tc>
      </w:tr>
      <w:tr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소관부처</w:t>
            </w:r>
          </w:p>
        </w:tc>
        <w:tc>
          <w:tcPr>
            <w:tcW w:type="dxa" w:w="75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국토교통부(중앙관서), 한국스마트도시협회(전담·중간지원)</w:t>
            </w:r>
          </w:p>
        </w:tc>
      </w:tr>
      <w:tr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작성</w:t>
            </w:r>
          </w:p>
        </w:tc>
        <w:tc>
          <w:tcPr>
            <w:tcW w:type="dxa" w:w="75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 PMO / 상무 이성호</w:t>
            </w:r>
          </w:p>
        </w:tc>
      </w:tr>
      <w:tr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작성일</w:t>
            </w:r>
          </w:p>
        </w:tc>
        <w:tc>
          <w:tcPr>
            <w:tcW w:type="dxa" w:w="75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2026. 8. 25.</w:t>
            </w:r>
          </w:p>
        </w:tc>
      </w:tr>
    </w:tbl>
    <w:p>
      <w:pPr>
        <w:spacing w:before="120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㈜제일엔지니어링종합건축사사무소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개요 및 적용범위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1. 작성 목적</w:t>
      </w:r>
    </w:p>
    <w:p>
      <w:pPr>
        <w:spacing w:after="60" w:before="14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본 사업의 준공(사업완료) 및 국고보조금 정산 업무를 표준화하여 기한 내 오류 없이 종결함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국토교통부·아산시·감사기관의 요구자료를 사전 정의하고, 증빙 결손을 준공 이전에 제거함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정산 지연에 따른 보조금 삭감(최대 50%) 및 부정수급 판정 리스크를 구조적으로 차단함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사업 종결 후 3년 운영단계(2027~2029) 및 중요재산 처분제한기간까지의 사후관리 근거를 확보함</w:t>
      </w:r>
    </w:p>
    <w:p>
      <w:pPr>
        <w:spacing w:after="60" w:before="40"/>
        <w:ind w:left="82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정산·회계감사 관련 자료의 법정 보관기간은 5년이나, 본 사업은 감사 대응을 위해 2031년까지 보존을 원칙으로 함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 적용 법령 및 지침 체계</w:t>
      </w:r>
    </w:p>
    <w:p>
      <w:pPr>
        <w:spacing w:after="60" w:before="160"/>
        <w:ind w:left="500"/>
      </w:pPr>
      <w:r>
        <w:rPr>
          <w:rFonts w:ascii="맑은 고딕" w:cs="맑은 고딕" w:eastAsia="맑은 고딕" w:hAnsi="맑은 고딕"/>
          <w:b/>
          <w:bCs/>
          <w:color w:val="2E5496"/>
          <w:sz w:val="19"/>
          <w:szCs w:val="19"/>
        </w:rPr>
        <w:t xml:space="preserve">&lt; 정산 규범 체계 &gt;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277"/>
        <w:gridCol w:w="5205"/>
      </w:tblGrid>
      <w:tr>
        <w:trPr>
          <w:tblHeader/>
        </w:trPr>
        <w:tc>
          <w:tcPr>
            <w:tcW w:type="dxa" w:w="1157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위계</w:t>
            </w:r>
          </w:p>
        </w:tc>
        <w:tc>
          <w:tcPr>
            <w:tcW w:type="dxa" w:w="3277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규범명</w:t>
            </w:r>
          </w:p>
        </w:tc>
        <w:tc>
          <w:tcPr>
            <w:tcW w:type="dxa" w:w="5205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핵심 적용사항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법률</w:t>
            </w:r>
          </w:p>
        </w:tc>
        <w:tc>
          <w:tcPr>
            <w:tcW w:type="dxa" w:w="32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 관리에 관한 법률</w:t>
            </w:r>
          </w:p>
        </w:tc>
        <w:tc>
          <w:tcPr>
            <w:tcW w:type="dxa" w:w="5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제27조(실적보고서·정산보고서), 제27조의2(회계감사), 제31조(반환), 제34조(별도계정), 제35조(재산처분 제한)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시행령</w:t>
            </w:r>
          </w:p>
        </w:tc>
        <w:tc>
          <w:tcPr>
            <w:tcW w:type="dxa" w:w="32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보조금법 시행령</w:t>
            </w:r>
          </w:p>
        </w:tc>
        <w:tc>
          <w:tcPr>
            <w:tcW w:type="dxa" w:w="5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제12조(제출기한), 제12조의2(검증대상 1억원), 제12조의3(감사인 선임), 제15조(중요재산)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행정규칙</w:t>
            </w:r>
          </w:p>
        </w:tc>
        <w:tc>
          <w:tcPr>
            <w:tcW w:type="dxa" w:w="32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국고보조금 통합관리지침
(기획예산처공고, 2026. 3. 4. 시행)</w:t>
            </w:r>
          </w:p>
        </w:tc>
        <w:tc>
          <w:tcPr>
            <w:tcW w:type="dxa" w:w="5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제18~22조(집행·계약), 제25조(이월), 제26~27조(실적보고·반납·지연삭감), 제28조(검증), 제31조(자료보관), 제46~48조(중요재산)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행정규칙</w:t>
            </w:r>
          </w:p>
        </w:tc>
        <w:tc>
          <w:tcPr>
            <w:tcW w:type="dxa" w:w="32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보조사업 실적보고서 및
정산보고서 작성지침</w:t>
            </w:r>
          </w:p>
        </w:tc>
        <w:tc>
          <w:tcPr>
            <w:tcW w:type="dxa" w:w="5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실적보고서 별지 제1호서식, 정산보고서 별지 제2호서식, 보조비목별 총괄명세서·일자별 집행명세서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행정규칙</w:t>
            </w:r>
          </w:p>
        </w:tc>
        <w:tc>
          <w:tcPr>
            <w:tcW w:type="dxa" w:w="32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보조사업 정산보고서 검증지침</w:t>
            </w:r>
          </w:p>
        </w:tc>
        <w:tc>
          <w:tcPr>
            <w:tcW w:type="dxa" w:w="5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검증기관(외감법상 감사인) 검증절차·검증보고서 표준양식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지방</w:t>
            </w:r>
          </w:p>
        </w:tc>
        <w:tc>
          <w:tcPr>
            <w:tcW w:type="dxa" w:w="32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지방자치단체 보조금 관리에 관한 법률
및 아산시 보조금 관리 조례</w:t>
            </w:r>
          </w:p>
        </w:tc>
        <w:tc>
          <w:tcPr>
            <w:tcW w:type="dxa" w:w="5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시비·도비 매칭분의 지방보조금 정산·검사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협약</w:t>
            </w:r>
          </w:p>
        </w:tc>
        <w:tc>
          <w:tcPr>
            <w:tcW w:type="dxa" w:w="32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국토교통부–아산시 협약서,
아산시–컨소시엄 협약서</w:t>
            </w:r>
          </w:p>
        </w:tc>
        <w:tc>
          <w:tcPr>
            <w:tcW w:type="dxa" w:w="5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준공시점, 성과지표, 사업비 변경승인, 3년 운영의무 등 개별 특약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계약</w:t>
            </w:r>
          </w:p>
        </w:tc>
        <w:tc>
          <w:tcPr>
            <w:tcW w:type="dxa" w:w="32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지방계약법령(준용)</w:t>
            </w:r>
          </w:p>
        </w:tc>
        <w:tc>
          <w:tcPr>
            <w:tcW w:type="dxa" w:w="5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분리발주 예외, 검사·검수, 하자담보책임</w:t>
            </w:r>
          </w:p>
        </w:tc>
      </w:tr>
    </w:tbl>
    <w:p>
      <w:pPr>
        <w:spacing w:after="60" w:before="40"/>
        <w:ind w:left="82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개별 협약서의 특약이 지침보다 엄격한 경우 협약서를 우선 적용함. 착수 전 협약서 전문 대조가 선행되어야 함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 핵심 용어 정리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1"/>
        <w:gridCol w:w="3856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용어</w:t>
            </w:r>
          </w:p>
        </w:tc>
        <w:tc>
          <w:tcPr>
            <w:tcW w:type="dxa" w:w="4241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정　　　　의</w:t>
            </w:r>
          </w:p>
        </w:tc>
        <w:tc>
          <w:tcPr>
            <w:tcW w:type="dxa" w:w="385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본 사업 적용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42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중앙관서로부터 보조금을 직접 교부받는 자</w:t>
            </w:r>
          </w:p>
        </w:tc>
        <w:tc>
          <w:tcPr>
            <w:tcW w:type="dxa" w:w="38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아산시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간접보조사업자</w:t>
            </w:r>
          </w:p>
        </w:tc>
        <w:tc>
          <w:tcPr>
            <w:tcW w:type="dxa" w:w="42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보조사업자로부터 보조금을 재교부받는 자</w:t>
            </w:r>
          </w:p>
        </w:tc>
        <w:tc>
          <w:tcPr>
            <w:tcW w:type="dxa" w:w="38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제일엔지니어링, 호서대, 충남연구원, KAIST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상위보조사업자</w:t>
            </w:r>
          </w:p>
        </w:tc>
        <w:tc>
          <w:tcPr>
            <w:tcW w:type="dxa" w:w="42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간접보조사업자에게 보조금을 교부하는 자</w:t>
            </w:r>
          </w:p>
        </w:tc>
        <w:tc>
          <w:tcPr>
            <w:tcW w:type="dxa" w:w="38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아산시(→컨소시엄), 제일엔지니어링(→재교부 시)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</w:t>
            </w:r>
          </w:p>
        </w:tc>
        <w:tc>
          <w:tcPr>
            <w:tcW w:type="dxa" w:w="42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사용 경비를 재원별로 명백히 계산하는 행위</w:t>
            </w:r>
          </w:p>
        </w:tc>
        <w:tc>
          <w:tcPr>
            <w:tcW w:type="dxa" w:w="38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국비·도비·시비·자기부담금 4원별 구분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검증</w:t>
            </w:r>
          </w:p>
        </w:tc>
        <w:tc>
          <w:tcPr>
            <w:tcW w:type="dxa" w:w="42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 작성 적정성을 감사인이 검토·확인</w:t>
            </w:r>
          </w:p>
        </w:tc>
        <w:tc>
          <w:tcPr>
            <w:tcW w:type="dxa" w:w="38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기관별 교부액 1억원 이상 시 의무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순보조사업비</w:t>
            </w:r>
          </w:p>
        </w:tc>
        <w:tc>
          <w:tcPr>
            <w:tcW w:type="dxa" w:w="42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해당 사업자가 직접 집행한 사업비</w:t>
            </w:r>
          </w:p>
        </w:tc>
        <w:tc>
          <w:tcPr>
            <w:tcW w:type="dxa" w:w="38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기관별 1차 정산 기준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총보조사업비</w:t>
            </w:r>
          </w:p>
        </w:tc>
        <w:tc>
          <w:tcPr>
            <w:tcW w:type="dxa" w:w="42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교부 보조금+지방비부담금+자기부담금 합계</w:t>
            </w:r>
          </w:p>
        </w:tc>
        <w:tc>
          <w:tcPr>
            <w:tcW w:type="dxa" w:w="38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하위 정산 완료 후 총괄 정산 기준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중요재산</w:t>
            </w:r>
          </w:p>
        </w:tc>
        <w:tc>
          <w:tcPr>
            <w:tcW w:type="dxa" w:w="42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보조금으로 취득·효용증가된 부동산·기계·장비 등</w:t>
            </w:r>
          </w:p>
        </w:tc>
        <w:tc>
          <w:tcPr>
            <w:tcW w:type="dxa" w:w="38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OASIS SPOT, 이노베이션 스퀘어 설비, 스마트폴, 서버 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정산 추진체계 및 기관별 책임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1. 보조금 흐름 및 정산 계층구조</w:t>
      </w:r>
    </w:p>
    <w:p>
      <w:pPr>
        <w:spacing w:after="60" w:before="14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정산은 하위에서 상위로 역순 진행되며, 하위 정산 미완료 시 상위 정산이 불가함</w:t>
      </w:r>
    </w:p>
    <w:p>
      <w:pPr>
        <w:spacing w:after="60" w:before="160"/>
        <w:ind w:left="500"/>
      </w:pPr>
      <w:r>
        <w:rPr>
          <w:rFonts w:ascii="맑은 고딕" w:cs="맑은 고딕" w:eastAsia="맑은 고딕" w:hAnsi="맑은 고딕"/>
          <w:b/>
          <w:bCs/>
          <w:color w:val="2E5496"/>
          <w:sz w:val="19"/>
          <w:szCs w:val="19"/>
        </w:rPr>
        <w:t xml:space="preserve">&lt; 정산 흐름(4단계) &gt;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121"/>
        <w:gridCol w:w="4241"/>
        <w:gridCol w:w="2313"/>
      </w:tblGrid>
      <w:tr>
        <w:trPr>
          <w:tblHeader/>
        </w:trPr>
        <w:tc>
          <w:tcPr>
            <w:tcW w:type="dxa" w:w="96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단계</w:t>
            </w:r>
          </w:p>
        </w:tc>
        <w:tc>
          <w:tcPr>
            <w:tcW w:type="dxa" w:w="2121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주　체</w:t>
            </w:r>
          </w:p>
        </w:tc>
        <w:tc>
          <w:tcPr>
            <w:tcW w:type="dxa" w:w="4241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정산 산출물</w:t>
            </w:r>
          </w:p>
        </w:tc>
        <w:tc>
          <w:tcPr>
            <w:tcW w:type="dxa" w:w="231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수　신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1단계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호서대·충남연구원·KAIST</w:t>
            </w:r>
          </w:p>
        </w:tc>
        <w:tc>
          <w:tcPr>
            <w:tcW w:type="dxa" w:w="42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기관별 정산보고서(순보조사업비) + 증빙 + 검증보고서</w:t>
            </w:r>
          </w:p>
        </w:tc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제일엔지니어링(PMO)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2단계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제일엔지니어링(PMO)</w:t>
            </w:r>
          </w:p>
        </w:tc>
        <w:tc>
          <w:tcPr>
            <w:tcW w:type="dxa" w:w="42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자체 정산보고서 + 컨소시엄 취합 총괄 정산보고서</w:t>
            </w:r>
          </w:p>
        </w:tc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아산시 스마트도시팀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3단계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아산시</w:t>
            </w:r>
          </w:p>
        </w:tc>
        <w:tc>
          <w:tcPr>
            <w:tcW w:type="dxa" w:w="42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보조사업 실적보고서(총보조사업비) + 정산보고서</w:t>
            </w:r>
          </w:p>
        </w:tc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국토교통부(한국스마트도시협회 경유)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4단계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국토교통부</w:t>
            </w:r>
          </w:p>
        </w:tc>
        <w:tc>
          <w:tcPr>
            <w:tcW w:type="dxa" w:w="42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실적보고서 심사 → 집행잔액·이자 반납 확정</w:t>
            </w:r>
          </w:p>
        </w:tc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작성지침상 컨소시엄 형태 수행 시 주관 보조사업자가 취합·총괄하도록 규정 → 본 사업은 제일엔지니어링이 취합 주체임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“순보조사업비 우선 제출 → 하위 정산 완료 후 총보조사업비 총괄 제출” 2단계 제출구조 적용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 법정 제출기한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048"/>
        <w:gridCol w:w="3085"/>
      </w:tblGrid>
      <w:tr>
        <w:trPr>
          <w:tblHeader/>
        </w:trPr>
        <w:tc>
          <w:tcPr>
            <w:tcW w:type="dxa" w:w="250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기　한</w:t>
            </w:r>
          </w:p>
        </w:tc>
        <w:tc>
          <w:tcPr>
            <w:tcW w:type="dxa" w:w="3085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근　거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 간접보조사업자
실적·정산보고서</w:t>
            </w:r>
          </w:p>
        </w:tc>
        <w:tc>
          <w:tcPr>
            <w:tcW w:type="dxa" w:w="40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실적보고 사유 발생일로부터 2개월 이내</w:t>
            </w:r>
          </w:p>
        </w:tc>
        <w:tc>
          <w:tcPr>
            <w:tcW w:type="dxa" w:w="30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보조금법 시행령 §12①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지방자치단체(아산시)
실적보고서</w:t>
            </w:r>
          </w:p>
        </w:tc>
        <w:tc>
          <w:tcPr>
            <w:tcW w:type="dxa" w:w="40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실적보고 사유 발생일로부터 3개월 이내</w:t>
            </w:r>
          </w:p>
        </w:tc>
        <w:tc>
          <w:tcPr>
            <w:tcW w:type="dxa" w:w="30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보조금법 시행령 §12①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회계연도 종료 실적보고</w:t>
            </w:r>
          </w:p>
        </w:tc>
        <w:tc>
          <w:tcPr>
            <w:tcW w:type="dxa" w:w="40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매년 12. 31. 기준 → 다년도 사업도 매년 제출</w:t>
            </w:r>
          </w:p>
        </w:tc>
        <w:tc>
          <w:tcPr>
            <w:tcW w:type="dxa" w:w="30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국토부 사업 가이드라인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감사인 선임(해당 시)</w:t>
            </w:r>
          </w:p>
        </w:tc>
        <w:tc>
          <w:tcPr>
            <w:tcW w:type="dxa" w:w="40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교부결정 통지일로부터 3개월 이내</w:t>
            </w:r>
          </w:p>
        </w:tc>
        <w:tc>
          <w:tcPr>
            <w:tcW w:type="dxa" w:w="30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보조금법 시행령 §12의3①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감사보고서 제출(해당 시)</w:t>
            </w:r>
          </w:p>
        </w:tc>
        <w:tc>
          <w:tcPr>
            <w:tcW w:type="dxa" w:w="40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회계연도 종료일로부터 4개월 이내</w:t>
            </w:r>
          </w:p>
        </w:tc>
        <w:tc>
          <w:tcPr>
            <w:tcW w:type="dxa" w:w="30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보조금법 시행령 §12의3②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중요재산 취득보고</w:t>
            </w:r>
          </w:p>
        </w:tc>
        <w:tc>
          <w:tcPr>
            <w:tcW w:type="dxa" w:w="40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취득 후 15일 이내</w:t>
            </w:r>
          </w:p>
        </w:tc>
        <w:tc>
          <w:tcPr>
            <w:tcW w:type="dxa" w:w="30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§46①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집행잔액·이자 반납</w:t>
            </w:r>
          </w:p>
        </w:tc>
        <w:tc>
          <w:tcPr>
            <w:tcW w:type="dxa" w:w="40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사업 완료 해의 다음 연도 내 완료</w:t>
            </w:r>
          </w:p>
        </w:tc>
        <w:tc>
          <w:tcPr>
            <w:tcW w:type="dxa" w:w="30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§26④</w:t>
            </w:r>
          </w:p>
        </w:tc>
      </w:tr>
    </w:tbl>
    <w:p>
      <w:pPr>
        <w:spacing w:after="60" w:before="140"/>
        <w:ind w:left="200"/>
      </w:pP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□ 정산보고서 지연제출 시 제재(통합관리지침 §27③)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- 3개월 지연 → 이후 최초 지급 보조금 10% 이내 삭감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- 6개월 지연 → 20% 이내 삭감 / 12개월 지연 → 50% 이내 삭감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정당한 사유 없이 정산 미완료 시 추가 보조금 교부 금지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 기관별 제출 책임 매트릭스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253"/>
        <w:gridCol w:w="1253"/>
        <w:gridCol w:w="1253"/>
        <w:gridCol w:w="1253"/>
        <w:gridCol w:w="1157"/>
      </w:tblGrid>
      <w:tr>
        <w:trPr>
          <w:tblHeader/>
        </w:trPr>
        <w:tc>
          <w:tcPr>
            <w:tcW w:type="dxa" w:w="347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제출물</w:t>
            </w:r>
          </w:p>
        </w:tc>
        <w:tc>
          <w:tcPr>
            <w:tcW w:type="dxa" w:w="125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제일ENG</w:t>
            </w:r>
          </w:p>
        </w:tc>
        <w:tc>
          <w:tcPr>
            <w:tcW w:type="dxa" w:w="125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호서대</w:t>
            </w:r>
          </w:p>
        </w:tc>
        <w:tc>
          <w:tcPr>
            <w:tcW w:type="dxa" w:w="125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충남硏</w:t>
            </w:r>
          </w:p>
        </w:tc>
        <w:tc>
          <w:tcPr>
            <w:tcW w:type="dxa" w:w="125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KAIST</w:t>
            </w:r>
          </w:p>
        </w:tc>
        <w:tc>
          <w:tcPr>
            <w:tcW w:type="dxa" w:w="1157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아산시</w:t>
            </w:r>
          </w:p>
        </w:tc>
      </w:tr>
      <w:t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정산보고서(별지 제2호)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</w:tr>
      <w:t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보조비목별 총괄명세서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</w:tr>
      <w:t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일자별 집행명세서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</w:tr>
      <w:t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 검증보고서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해당없음</w:t>
            </w:r>
          </w:p>
        </w:tc>
      </w:tr>
      <w:t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보조사업 실적보고서(별지 제1호)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</w:tr>
      <w:t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성과지표 달성 실적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</w:tr>
      <w:t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중요재산 현황(지침 별지)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</w:tr>
      <w:t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준공·검수 서류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△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△</w:t>
            </w:r>
          </w:p>
        </w:tc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</w:tr>
      <w:t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집행잔액·이자 반납내역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2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◎</w:t>
            </w:r>
          </w:p>
        </w:tc>
      </w:tr>
    </w:tbl>
    <w:p>
      <w:pPr>
        <w:spacing w:after="60" w:before="40"/>
        <w:ind w:left="82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◎ 작성·총괄 책임 / ○ 자체 작성·제출 / △ 해당 시 제출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준공(사업완료) 관리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1. 준공 개념 및 판단기준</w:t>
      </w:r>
    </w:p>
    <w:p>
      <w:pPr>
        <w:spacing w:after="60" w:before="14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“준공”은 개별 계약의 완성이 아니라, 협약상 사업목표 달성 및 시설·서비스의 정상 가동 확인을 의미함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계약 단위 준공(공사·용역·물품별 검사·검수 완료)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사업 단위 준공(전 단위사업 완료 + 통합 시운전 + 성과지표 측정 가능 상태)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행정 단위 준공(아산시 준공검사 완료 및 국토부 실적보고서 수리)</w:t>
      </w:r>
    </w:p>
    <w:p>
      <w:pPr>
        <w:spacing w:after="60" w:before="140"/>
        <w:ind w:left="200"/>
      </w:pP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□ 준공시점 확정이 최우선 과제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협약서 제14조②의 3년 운영의무 기산점이 준공시점에 연동됨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준공시점이 확정되어야 실적보고서 제출기한(2개월/3개월)이 확정됨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아산시–국토교통부 상위 협약서 및 교부결정통지서 원문 확보 후 문서로 확정할 것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 단위사업 유형별 준공·검수 절차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313"/>
        <w:gridCol w:w="2892"/>
        <w:gridCol w:w="3470"/>
      </w:tblGrid>
      <w:tr>
        <w:trPr>
          <w:tblHeader/>
        </w:trPr>
        <w:tc>
          <w:tcPr>
            <w:tcW w:type="dxa" w:w="96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유형</w:t>
            </w:r>
          </w:p>
        </w:tc>
        <w:tc>
          <w:tcPr>
            <w:tcW w:type="dxa" w:w="231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해당 단위사업</w:t>
            </w:r>
          </w:p>
        </w:tc>
        <w:tc>
          <w:tcPr>
            <w:tcW w:type="dxa" w:w="2892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핵심 절차</w:t>
            </w:r>
          </w:p>
        </w:tc>
        <w:tc>
          <w:tcPr>
            <w:tcW w:type="dxa" w:w="347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필수 산출물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건축·토목</w:t>
            </w:r>
          </w:p>
        </w:tc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OASIS SPOT(이동형 스마트주택 30호), 부지조성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공사감독 → 예비준공검사 → 준공검사 → 사용승인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준공계, 준공검사조서, 준공도서, 사용승인서, 하자보수보증증권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ICT 구축</w:t>
            </w:r>
          </w:p>
        </w:tc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유·무선 통신망, 스마트폴, 무인매장, LED Wall, 서버·GPU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설치검사 → 단위시험 → 통합시험 → 시운전 → 검수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시험성적서, 시운전결과보고서, 검수조서, 자산등재목록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SW·플랫폼</w:t>
            </w:r>
          </w:p>
        </w:tc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AI 융합플랫폼, 통합관제, 데이터허브 연계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기능시험 → 사용자시험(UAT) → 보안점검 → 인수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요구사항추적표, 시험결과서, 소스·산출물 인수확인서, 보안취약점 조치확인서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용역</w:t>
            </w:r>
          </w:p>
        </w:tc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설계, 감리, 연구(호서대·충남硏·KAIST), 리빙랩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중간보고 → 최종보고 → 심의 → 검수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최종보고서, 심의결과서, 검수조서, 저작권·성과물 귀속확인서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물품</w:t>
            </w:r>
          </w:p>
        </w:tc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가구, 장비, 기자재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납품 → 검수 → 자산등록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거래명세서, 검수조서, 물품취득대장</w:t>
            </w:r>
          </w:p>
        </w:tc>
      </w:tr>
    </w:tbl>
    <w:p>
      <w:pPr>
        <w:spacing w:after="60" w:before="40"/>
        <w:ind w:left="82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30억원 이상 공사(전문·전기·정보통신·소방은 3억원 이상)는 조달청 계약 및 설계변경 타당성 검토 대상이므로, 관련 협의문서 일체를 준공서류에 편철할 것(통합관리지침 §22)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 준공 필수서류 목록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4434"/>
        <w:gridCol w:w="2121"/>
        <w:gridCol w:w="2120"/>
      </w:tblGrid>
      <w:tr>
        <w:trPr>
          <w:tblHeader/>
        </w:trPr>
        <w:tc>
          <w:tcPr>
            <w:tcW w:type="dxa" w:w="96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구분</w:t>
            </w:r>
          </w:p>
        </w:tc>
        <w:tc>
          <w:tcPr>
            <w:tcW w:type="dxa" w:w="443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서　류</w:t>
            </w:r>
          </w:p>
        </w:tc>
        <w:tc>
          <w:tcPr>
            <w:tcW w:type="dxa" w:w="2121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작성주체</w:t>
            </w:r>
          </w:p>
        </w:tc>
        <w:tc>
          <w:tcPr>
            <w:tcW w:type="dxa" w:w="212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비　고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공통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준공(완료)보고서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수행사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단위사업별 1부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공통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준공검사원 / 준공검사조서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수행사 / 아산시·PMO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검사자 서명 필수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공통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검수조서(물품·용역)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PMO·수요기관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검수공무원 지정 확인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공통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준공사진첩(착공–중간–준공 동일지점)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수행사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 정산 증빙 겸용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공통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준공도서(준공도면, 시방서, 내역서)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수행사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CAD 원본 포함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공통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하자보수보증금(증권) 및 하자담보책임 확인서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수행사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보증기간 명시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공통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시설물 인계·인수서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수행사→아산시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운영주체 명시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ICT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시운전결과보고서 / 성능시험성적서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수행사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규격 충족 입증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ICT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정보보호 점검 결과 및 조치확인서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수행사·PMO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개인정보 영향평가 해당 여부 확인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ICT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자산등재목록(S/N, 취득가액, 설치위치)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PMO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중요재산 보고와 정합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유지관리 매뉴얼·운영매뉴얼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수행사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3년 운영단계 인계자료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교육 실시 확인서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수행사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운영인력 대상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행정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인허가·신고 완료 서류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PMO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숙박업종, 식품영업 등</w:t>
            </w:r>
          </w:p>
        </w:tc>
      </w:tr>
      <w:t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행정</w:t>
            </w:r>
          </w:p>
        </w:tc>
        <w:tc>
          <w:tcPr>
            <w:tcW w:type="dxa" w:w="4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성과지표 측정 결과 및 산출근거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PMO·충남硏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협약 성과지표 대비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4. 준공 단계 주요 리스크 및 대응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506"/>
        <w:gridCol w:w="4820"/>
      </w:tblGrid>
      <w:tr>
        <w:trPr>
          <w:tblHeader/>
        </w:trPr>
        <w:tc>
          <w:tcPr>
            <w:tcW w:type="dxa" w:w="231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리스크</w:t>
            </w:r>
          </w:p>
        </w:tc>
        <w:tc>
          <w:tcPr>
            <w:tcW w:type="dxa" w:w="250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영　향</w:t>
            </w:r>
          </w:p>
        </w:tc>
        <w:tc>
          <w:tcPr>
            <w:tcW w:type="dxa" w:w="482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대　응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12월 준공 불가 단위사업 발생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이월 불승인 시 집행잔액 전액 반납</w:t>
            </w:r>
          </w:p>
        </w:tc>
        <w:tc>
          <w:tcPr>
            <w:tcW w:type="dxa" w:w="4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§25에 따른 이월승인을 사전 신청(지출원인행위 완료분 중심)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유찰 반복(OASIS SPOT 등)으로 공기 부족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준공지연 → 협약 위반 소지</w:t>
            </w:r>
          </w:p>
        </w:tc>
        <w:tc>
          <w:tcPr>
            <w:tcW w:type="dxa" w:w="4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재공고 일정 역산 관리, 불가피 시 사업기간 변경승인 사전 협의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진도율과 집행률 불일치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실적보고서 심사 시 지적</w:t>
            </w:r>
          </w:p>
        </w:tc>
        <w:tc>
          <w:tcPr>
            <w:tcW w:type="dxa" w:w="4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집행률·물리적 진도율 이원 관리 및 근거 문서화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성과지표 미달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차년도 사업 참여 제한 등</w:t>
            </w:r>
          </w:p>
        </w:tc>
        <w:tc>
          <w:tcPr>
            <w:tcW w:type="dxa" w:w="4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측정 가능 지표로 사전 정비, 측정방법·시점 문서 확정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 귀속·운영주체 미확정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중요재산 보고 불가</w:t>
            </w:r>
          </w:p>
        </w:tc>
        <w:tc>
          <w:tcPr>
            <w:tcW w:type="dxa" w:w="4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준공 전 시설별 귀속·관리주체 확정(공유재산 등재 포함)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Ⅳ. 정산 실무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1. 정산보고서 구성</w:t>
      </w:r>
    </w:p>
    <w:p>
      <w:pPr>
        <w:spacing w:after="60" w:before="14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정산보고서는 「보조사업 실적보고서 및 정산보고서 작성지침」 서식에 따라 작성함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084"/>
        <w:gridCol w:w="5398"/>
      </w:tblGrid>
      <w:tr>
        <w:trPr>
          <w:tblHeader/>
        </w:trPr>
        <w:tc>
          <w:tcPr>
            <w:tcW w:type="dxa" w:w="1157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서식</w:t>
            </w:r>
          </w:p>
        </w:tc>
        <w:tc>
          <w:tcPr>
            <w:tcW w:type="dxa" w:w="308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문　서　명</w:t>
            </w:r>
          </w:p>
        </w:tc>
        <w:tc>
          <w:tcPr>
            <w:tcW w:type="dxa" w:w="539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주요 기재사항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별지 제1호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보조사업 실적보고서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① 일반현황 ② 사업개요 ③ 수행목표·성과 ④ 사업비 집행결과 ⑤ 차년도 계획(해당 시)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별지 제2호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보조사업 정산보고서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① 일반현황 ② 보조사업 개요 ③ 당해연도 보조사업비 ④ 사용실적 및 반환액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별지 제3호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보조비목·보조세목별 총괄명세서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 첨부 · 재원별(보조금/지방비/자부담) 구분 집계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별지 제4호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일자별 집행명세서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 첨부 · 집행일, 적요, 거래처, 금액, 지급방법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첨부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검증보고서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검증기관 작성(교부액 1억원 이상 시 필수)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첨부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중요재산 현황(통합관리지침 별지)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취득재산 목록·취득가액·처분제한기간</w:t>
            </w:r>
          </w:p>
        </w:tc>
      </w:tr>
    </w:tbl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보조사업비는 반드시 보조금·지방자치단체부담금·자기부담금으로 구분 작성함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본 사업은 국비/도비/시비 3원 매칭이므로, 재원별 집행률이 협약 비율과 일치하도록 관리함</w:t>
      </w:r>
    </w:p>
    <w:p>
      <w:pPr>
        <w:spacing w:after="60" w:before="40"/>
        <w:ind w:left="82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재원 비율 불일치는 정산 단계에서 가장 빈번한 지적사항임. 월 단위로 재원별 집행비율 모니터링 필요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 보조비목별 정산 증빙 요구목록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5012"/>
        <w:gridCol w:w="3470"/>
      </w:tblGrid>
      <w:tr>
        <w:trPr>
          <w:tblHeader/>
        </w:trPr>
        <w:tc>
          <w:tcPr>
            <w:tcW w:type="dxa" w:w="1157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보조비목</w:t>
            </w:r>
          </w:p>
        </w:tc>
        <w:tc>
          <w:tcPr>
            <w:tcW w:type="dxa" w:w="5012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필　수　증　빙</w:t>
            </w:r>
          </w:p>
        </w:tc>
        <w:tc>
          <w:tcPr>
            <w:tcW w:type="dxa" w:w="347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유의사항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근로계약서, 급여대장, 이체증, 원천징수이행상황신고서, 4대보험 납부확인서, 참여율 확인표(근무일지)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참여율 100% 초과 금지, 승인된 인력계획과 대조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현물투자
(In-kind)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현물투자 확인서, 산정근거, 인력별 참여율·급여 근거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PM 노무 현물투자분은 별도 산정근거 필수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
(공사)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계약서, 착공계, 설계·변경설계 승인, 기성·준공검사조서, 세금계산서, 이체증, 준공사진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30억 이상 조달청 협의문서 포함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계약서, 검수조서, 거래명세서, 세금계산서, 이체증, 자산등재대장, 사진(S/N 식별)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중요재산 보고 대상 여부 판정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용역비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계약서, 과업지시서, 착수·중간·최종보고서, 검수조서, 세금계산서, 이체증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성과물 귀속·저작권 조항 확인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연구계획서, 연구결과보고서, 연구원 참여율, 재료비·시약 구매증빙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대학·연구원 자체 규정과 병행 검토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지출결의서, 견적서(100만원 이상 복수), 세금계산서, 카드전표, 이체증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보조사업비 카드 사용 원칙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출장신청·복명서, 교통·숙박 영수증, 출장자 명단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사업 관련성 소명자료 필수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업무추진비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집행목적·대상자·인원 명시 지출결의, 카드전표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제한업종 사용 금지(지침 별표1)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수용비 등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견적·발주·납품·검수·세금계산서·이체증</w:t>
            </w:r>
          </w:p>
        </w:tc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증빙 5단계 연결성 확보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 집행방법 준수사항(불인정 방지)</w:t>
      </w:r>
    </w:p>
    <w:p>
      <w:pPr>
        <w:spacing w:after="60" w:before="140"/>
        <w:ind w:left="200"/>
      </w:pP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□ 통합관리지침 §18~19 위반 시 해당 지출액은 보조사업비로 불인정됨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보조금 입·출금 전용계좌 계좌이체 또는 보조사업비 카드 사용만 인정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세금계산서는 전자세금계산서 사용 원칙, 현금·개인카드 사용 불인정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보조사업별 별도계정·별도계좌 운용, 수익금 발생 시 별도 계좌 관리(§20)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계약체결 방식 준수(§21)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- 2천만원 초과 물품·용역 / 2억원 초과 건설공사 / 1억원 초과 전문공사 / 8천만원 초과 기타공사 → 조달청·지자체 위탁 또는 나라장터 이용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계약체결일로부터 15일 이내 보조금시스템(e나라도움) 계약서 등록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보조사업비 카드 제한업종 사용 금지, 사업목적 무관 업종 사용 금지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4. 집행잔액·이자·수익금·부가가치세 처리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398"/>
        <w:gridCol w:w="2506"/>
      </w:tblGrid>
      <w:tr>
        <w:trPr>
          <w:tblHeader/>
        </w:trPr>
        <w:tc>
          <w:tcPr>
            <w:tcW w:type="dxa" w:w="1735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항　목</w:t>
            </w:r>
          </w:p>
        </w:tc>
        <w:tc>
          <w:tcPr>
            <w:tcW w:type="dxa" w:w="539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처　리　기　준</w:t>
            </w:r>
          </w:p>
        </w:tc>
        <w:tc>
          <w:tcPr>
            <w:tcW w:type="dxa" w:w="250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근　거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집행잔액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보조금시스템 재원별 사용금액 잔액 기준으로 반납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§26①③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발생이자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 계좌 이자 반납. 민간사업자가 산정 곤란 시 연 5%(민법 §379) 적용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§26⑥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수익금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교부조건에 명시된 경우 국고보조율에 따라 반납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§26①③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부가가치세 환급금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세외수입 계상 원칙. 재투자하려면 사업계획 사전반영·변경 필요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§26②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낙찰차액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교부 단계에서 감안. 잔액 발생 시 반납 대상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§17①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반납기한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사업 완료 해의 다음 연도 내 반납 완료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§26④</w:t>
            </w:r>
          </w:p>
        </w:tc>
      </w:tr>
    </w:tbl>
    <w:p>
      <w:pPr>
        <w:spacing w:after="60" w:before="40"/>
        <w:ind w:left="82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반복 유찰로 발생한 낙찰차액 및 예비비 잔액은 사전에 사업계획 변경승인을 통해 용도 전환하지 않는 한 전액 반납 대상임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5. 사업비 변경 및 이월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보조비목·보조세목 신설, 보조비목 간 전용은 중앙관서의 장 또는 상위보조사업자 승인 필요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이월은 원칙적으로 불가하며, 다음의 경우 중앙관서 승인 시 가능(§25)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연도 내 지출원인행위를 하였으나 불가피하게 미지출한 경비 및 그 부대경비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인건비 등 경상경비, 협상에 의한 계약 등 장기간 소요 경비(재이월 가능)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이월액은 다른 용도로 사용할 수 없으며, 승인 없는 이월은 전액 반납 대상임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Ⅴ. 정산보고서 검증 및 회계감사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1. 검증·감사 대상 판정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2"/>
        <w:gridCol w:w="2121"/>
        <w:gridCol w:w="2698"/>
      </w:tblGrid>
      <w:tr>
        <w:trPr>
          <w:tblHeader/>
        </w:trPr>
        <w:tc>
          <w:tcPr>
            <w:tcW w:type="dxa" w:w="192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2892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대상 기준</w:t>
            </w:r>
          </w:p>
        </w:tc>
        <w:tc>
          <w:tcPr>
            <w:tcW w:type="dxa" w:w="2121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수행자</w:t>
            </w:r>
          </w:p>
        </w:tc>
        <w:tc>
          <w:tcPr>
            <w:tcW w:type="dxa" w:w="269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기　한</w:t>
            </w:r>
          </w:p>
        </w:tc>
      </w:tr>
      <w:tr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 검증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해당 보조사업 보조금 총액 1억원 이상
(지방자치단체 제외)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외감법상 감사인(회계법인·감사반)</w:t>
            </w:r>
          </w:p>
        </w:tc>
        <w:tc>
          <w:tcPr>
            <w:tcW w:type="dxa" w:w="26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 제출 시 첨부</w:t>
            </w:r>
          </w:p>
        </w:tc>
      </w:tr>
      <w:tr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특정사업자 회계감사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동일 회계연도 중앙관서 교부 보조금 총액
10억원 이상</w:t>
            </w:r>
          </w:p>
        </w:tc>
        <w:tc>
          <w:tcPr>
            <w:tcW w:type="dxa" w:w="2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외감법상 감사인</w:t>
            </w:r>
          </w:p>
        </w:tc>
        <w:tc>
          <w:tcPr>
            <w:tcW w:type="dxa" w:w="26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감사인 선임: 교부결정 통지 후 3개월 내
보고서 제출: 회계연도 종료 후 4개월 내</w:t>
            </w:r>
          </w:p>
        </w:tc>
      </w:tr>
    </w:tbl>
    <w:p>
      <w:pPr>
        <w:spacing w:after="60" w:before="14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본 사업 적용 판단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제일엔지니어링·호서대·충남연구원·KAIST 각각의 교부액이 1억원을 초과 → 기관별 검증 의무 발생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아산시는 지방자치단체이므로 검증 의무 제외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회계감사 대상 여부는 “중앙관서로부터의 직접 교부” 기준이므로, 아산시 경유 교부 구조에서는 해당 여부를 국토부에 서면 질의하여 확정할 것</w:t>
      </w:r>
    </w:p>
    <w:p>
      <w:pPr>
        <w:spacing w:after="60" w:before="40"/>
        <w:ind w:left="82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직전 회계연도에 감사보고서를 제출한 특정사업자는 당해연도 생략 가능(보조금법 §27의2① 단서). 다른 법률에 따라 외부감사를 받는 기관은 해당 감사보고서로 갈음 가능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 검증기관 선정 및 대응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검증기관은 컨소시엄 공동 선정 시 비용·일정 효율이 높으나, 기관별 회계처리 차이를 고려하여 사전 협의 필요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검증기관 선정 시기: 준공 2개월 전(사업기간 종료 전) 계약 체결 권고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검증기관 귀책으로 중대한 오류·누락 발생 시 향후 선정 제한(고의·중과실 3년, 과실 2년) — 선정 시 실적 확인</w:t>
      </w:r>
    </w:p>
    <w:p>
      <w:pPr>
        <w:spacing w:after="60" w:before="14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검증 대응 자료 사전 준비(체크리스트)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보조금 전용계좌 거래내역 전체(개설~반납), 이자 산정내역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일자별 집행명세서와 통장·카드내역·세금계산서의 3자 대사표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계약대장(계약번호·방식·금액·낙찰차액), 변경계약 내역 및 승인문서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인건비 참여율 산정표 및 4대보험·원천세 신고서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사업계획 변경승인 문서 이력 전체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 실적보고서 심사 및 시정조치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중앙관서는 실적보고서를 심사(보조금법 §28)하고, 부적합 시 시정조치를 명할 수 있음(§29)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부정수급 판정 시 교부결정 취소, 반환명령, 제재부가금, 수행배제, 명단공표 등 제재 병과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소명 기회는 통지일로부터 15일 이내 → 소명자료 즉시 제출 가능하도록 문서 체계 상시 유지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Ⅵ. 사후관리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1. 중요재산 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7904"/>
      </w:tblGrid>
      <w:tr>
        <w:trPr>
          <w:tblHeader/>
        </w:trPr>
        <w:tc>
          <w:tcPr>
            <w:tcW w:type="dxa" w:w="1735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항　목</w:t>
            </w:r>
          </w:p>
        </w:tc>
        <w:tc>
          <w:tcPr>
            <w:tcW w:type="dxa" w:w="790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용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보고 시기</w:t>
            </w:r>
          </w:p>
        </w:tc>
        <w:tc>
          <w:tcPr>
            <w:tcW w:type="dxa" w:w="7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취득 후 15일 이내 ‘중요재산 현황’(통합관리지침 별지서식) 보고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변동 보고</w:t>
            </w:r>
          </w:p>
        </w:tc>
        <w:tc>
          <w:tcPr>
            <w:tcW w:type="dxa" w:w="7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처분제한기간 종료 전까지 매년 6월·12월 변동현황 보고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관리 하한</w:t>
            </w:r>
          </w:p>
        </w:tc>
        <w:tc>
          <w:tcPr>
            <w:tcW w:type="dxa" w:w="7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취득가액 50만원 초과 재산(중앙관서가 인정한 50만원 이하 내구재 포함)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공시 기간</w:t>
            </w:r>
          </w:p>
        </w:tc>
        <w:tc>
          <w:tcPr>
            <w:tcW w:type="dxa" w:w="7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부동산·선박·항공기 10년 / 기타 기계·장비 등 5년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처분 제한</w:t>
            </w:r>
          </w:p>
        </w:tc>
        <w:tc>
          <w:tcPr>
            <w:tcW w:type="dxa" w:w="7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사업 완료 후에도 중앙관서 승인 없이 목적 외 사용·양도·교환·대여·담보제공 금지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부기등기</w:t>
            </w:r>
          </w:p>
        </w:tc>
        <w:tc>
          <w:tcPr>
            <w:tcW w:type="dxa" w:w="7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부동산은 「보조금이 지원된 부동산 증명서」(통합관리지침 별지서식) 제출로 부기등기</w:t>
            </w:r>
          </w:p>
        </w:tc>
      </w:tr>
      <w:tr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위반 시</w:t>
            </w:r>
          </w:p>
        </w:tc>
        <w:tc>
          <w:tcPr>
            <w:tcW w:type="dxa" w:w="7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취득 보조금액·효용증가액·처분이익 범위에서 반환명령</w:t>
            </w:r>
          </w:p>
        </w:tc>
      </w:tr>
    </w:tbl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OASIS SPOT(이동형 스마트주택)은 부동산·동산 판정에 따라 처분제한기간이 달라지므로 사전 유권해석 필요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아산 이노베이션 스퀘어 내 설비(LED Wall, 서버, GPU 등)는 개별 자산단위로 등재하고 자산관리대장과 정합 유지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기존 운영 중인 자산관리 시스템(Asan-asset-management)을 중요재산 보고 원장으로 승격하여 이중관리 제거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 자료 보관 및 정보공시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보조사업 수행·정산·회계감사 관련 자료는 5년간 보관(통합관리지침 §31)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보조금시스템에 등록된 자료는 별도 보관 생략 가능하나, 본 사업은 전량 이중보관 권고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전자적 보관 허용(카드사용내역·세금계산서 등 전송자료)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보조사업 정보공시 의무 이행(교부신청서, 수입·지출내역, 정산보고서 등)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 3년 운영단계(2027~2029) 연계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국토부 공모지침상 사업 종료 후 3년간 계속 운영 의무 → 준공시점 기준 기산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운영 재원 확보를 위한 아산시 본예산·추경 반영 일정과 준공·정산 일정을 병렬 관리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조례 제정 및 공유재산 관리계획과 중요재산 처분제한 규정의 정합성 사전 검토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Ⅶ. 실행계획 및 정산관리시스템 구축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1. 4주 실행 로드맵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4048"/>
        <w:gridCol w:w="4242"/>
      </w:tblGrid>
      <w:tr>
        <w:trPr>
          <w:tblHeader/>
        </w:trPr>
        <w:tc>
          <w:tcPr>
            <w:tcW w:type="dxa" w:w="1349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주차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핵심 과업</w:t>
            </w:r>
          </w:p>
        </w:tc>
        <w:tc>
          <w:tcPr>
            <w:tcW w:type="dxa" w:w="4242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산　출　물</w:t>
            </w:r>
          </w:p>
        </w:tc>
      </w:tr>
      <w:tr>
        <w:tc>
          <w:tcPr>
            <w:tcW w:type="dxa" w:w="13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1주차
(기준 확정)</w:t>
            </w:r>
          </w:p>
        </w:tc>
        <w:tc>
          <w:tcPr>
            <w:tcW w:type="dxa" w:w="40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협약서·교부결정통지서·변경승인 이력 전수 확보
준공시점 및 검증·감사 대상 여부 확정
재원별 예산·집행 현황 확정(BMS 대사)</w:t>
            </w:r>
          </w:p>
        </w:tc>
        <w:tc>
          <w:tcPr>
            <w:tcW w:type="dxa" w:w="42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 기준서(Baseline)
국토부·아산시 질의회신 문서
재원별 집행 현황 확정표</w:t>
            </w:r>
          </w:p>
        </w:tc>
      </w:tr>
      <w:tr>
        <w:tc>
          <w:tcPr>
            <w:tcW w:type="dxa" w:w="13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2주차
(체계 구축)</w:t>
            </w:r>
          </w:p>
        </w:tc>
        <w:tc>
          <w:tcPr>
            <w:tcW w:type="dxa" w:w="40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증빙 요구목록 기관 배포
계약대장·자산대장·증빙대장 표준화
Notion DB 및 Slack 채널 개설</w:t>
            </w:r>
          </w:p>
        </w:tc>
        <w:tc>
          <w:tcPr>
            <w:tcW w:type="dxa" w:w="42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기관별 정산 요청 공문
정산 DB 스키마
증빙 업로드 채널</w:t>
            </w:r>
          </w:p>
        </w:tc>
      </w:tr>
      <w:tr>
        <w:tc>
          <w:tcPr>
            <w:tcW w:type="dxa" w:w="13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3주차
(수집·검증)</w:t>
            </w:r>
          </w:p>
        </w:tc>
        <w:tc>
          <w:tcPr>
            <w:tcW w:type="dxa" w:w="40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기관별 증빙 1차 수집 및 결손 진단
일자별 집행명세서 자동 생성
검증기관 선정·계약</w:t>
            </w:r>
          </w:p>
        </w:tc>
        <w:tc>
          <w:tcPr>
            <w:tcW w:type="dxa" w:w="42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결손 리스트 및 보완 요청서
집행명세서 초안
검증 용역 계약</w:t>
            </w:r>
          </w:p>
        </w:tc>
      </w:tr>
      <w:tr>
        <w:tc>
          <w:tcPr>
            <w:tcW w:type="dxa" w:w="13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4주차
(정산·준공)</w:t>
            </w:r>
          </w:p>
        </w:tc>
        <w:tc>
          <w:tcPr>
            <w:tcW w:type="dxa" w:w="40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 초안 작성
준공서류 편철 및 검수
대시보드 정식 오픈</w:t>
            </w:r>
          </w:p>
        </w:tc>
        <w:tc>
          <w:tcPr>
            <w:tcW w:type="dxa" w:w="42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정산보고서(안)
준공서류 목록집
정산관리 대시보드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 Slack–Notion–GitHub 연계 정산관리시스템(안)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084"/>
        <w:gridCol w:w="5398"/>
      </w:tblGrid>
      <w:tr>
        <w:trPr>
          <w:tblHeader/>
        </w:trPr>
        <w:tc>
          <w:tcPr>
            <w:tcW w:type="dxa" w:w="1157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계층</w:t>
            </w:r>
          </w:p>
        </w:tc>
        <w:tc>
          <w:tcPr>
            <w:tcW w:type="dxa" w:w="308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도　구</w:t>
            </w:r>
          </w:p>
        </w:tc>
        <w:tc>
          <w:tcPr>
            <w:tcW w:type="dxa" w:w="539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역　할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수집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 전용 채널
(#정산-증빙, #준공서류, #정산-이슈)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기관별 증빙 업로드, 보완요청 스레드, 승인 기록 자동 남김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정형화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Google Apps Script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 첨부·메시지를 파싱하여 Notion DB에 적재(기존 파이프라인 확장)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원장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 DB 4종
(정산증빙 / 계약 / 준공산출물 / 중요재산)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 단일 원장. 상태값(요청–접수–검토–보완–확정) 관리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산출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GitHub Actions + Pages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JSON 스냅샷 생성 → 정산 대시보드 자동 배포, 정산보고서 자동 초안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확인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 대시보드</w:t>
            </w:r>
          </w:p>
        </w:tc>
        <w:tc>
          <w:tcPr>
            <w:tcW w:type="dxa" w:w="53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기관별·비목별·재원별 진척률, 결손 증빙 알림, 기한 D-day</w:t>
            </w:r>
          </w:p>
        </w:tc>
      </w:tr>
    </w:tbl>
    <w:p>
      <w:pPr>
        <w:spacing w:after="60" w:before="14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Notion 정산증빙 DB 필드(안)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증빙ID / 기관 / 단위사업 / 보조비목 / 보조세목 / 재원(국비·도비·시비·자부담)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계약번호 / 거래처 / 사업자번호 / 집행일 / 금액 / 부가세 / 지급방법</w:t>
      </w:r>
    </w:p>
    <w:p>
      <w:pPr>
        <w:spacing w:after="20" w:before="20"/>
        <w:ind w:left="820" w:hanging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- 증빙유형(계약서·세금계산서·이체증·검수조서 등) / 파일링크 / 검토상태 / 보완사유 / 검증확인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기존 BMS(예산관리)·WBS·자산관리 시스템과 키값(단위사업코드·비목코드)을 통일하여 재사용</w:t>
      </w:r>
    </w:p>
    <w:p>
      <w:pPr>
        <w:spacing w:after="40" w:before="40"/>
        <w:ind w:left="500" w:hanging="2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정산 대시보드는 “증빙 확보율”과 “집행률”을 분리 표기하여 물리적 진도와 회계 진도를 구분함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 즉시 확인·결정이 필요한 사항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5783"/>
        <w:gridCol w:w="1928"/>
        <w:gridCol w:w="1350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8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확　인　사　항</w:t>
            </w:r>
          </w:p>
        </w:tc>
        <w:tc>
          <w:tcPr>
            <w:tcW w:type="dxa" w:w="192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확인처</w:t>
            </w:r>
          </w:p>
        </w:tc>
        <w:tc>
          <w:tcPr>
            <w:tcW w:type="dxa" w:w="13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중요도</w:t>
            </w:r>
          </w:p>
        </w:tc>
      </w:tr>
      <w:tr>
        <w:tc>
          <w:tcPr>
            <w:tcW w:type="dxa" w:w="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사업기간 종료일 및 준공 기준시점(협약 제14조 관련)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국토부·아산시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최상</w:t>
            </w:r>
          </w:p>
        </w:tc>
      </w:tr>
      <w:tr>
        <w:tc>
          <w:tcPr>
            <w:tcW w:type="dxa" w:w="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실적보고서 제출 주체·경로(협회 경유 여부) 및 기한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한국스마트도시협회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최상</w:t>
            </w:r>
          </w:p>
        </w:tc>
      </w:tr>
      <w:tr>
        <w:tc>
          <w:tcPr>
            <w:tcW w:type="dxa" w:w="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기관별 정산보고서 검증 대상 여부 및 검증 범위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국토부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회계감사(10억원 기준) 해당 여부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국토부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미준공·이월 예상 단위사업의 이월승인 가능성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국토부·아산시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중요재산 귀속주체 및 처분제한기간 적용기준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국토부·아산시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낙찰차액·예비비 잔액의 사용 또는 반납 처리방침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아산시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현물투자(PM 노무) 정산 인정 범위 및 증빙 수준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국토부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부가가치세 환급금 처리방침(세외수입/재투자)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아산시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3년 운영단계 시작시점 및 운영예산 확보 일정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아산시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40"/>
        <w:ind w:left="82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본 가이드라인은 2026년 8월 기준 법령·행정규칙을 반영한 실무 기준안이며, 협약서 원문 및 국토교통부 회신 확보 후 v2.0으로 확정함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2026-09-03T04:43:01.410Z</dcterms:created>
  <dcterms:modified xsi:type="dcterms:W3CDTF">2026-09-03T04:43:01.411Z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