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검 수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이노베이션센터 장비실 냉방시설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검수 내역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181"/>
        <w:gridCol w:w="2313"/>
        <w:gridCol w:w="964"/>
        <w:gridCol w:w="964"/>
        <w:gridCol w:w="1542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18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품명 / 항목</w:t>
            </w:r>
          </w:p>
        </w:tc>
        <w:tc>
          <w:tcPr>
            <w:tcW w:type="dxa" w:w="231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수량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검수결과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검수 확인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976"/>
        <w:gridCol w:w="1542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597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내　　용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납품·설치 완료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수량 전량 납품 및 설치 완료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규격 일치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규격과 실물 일치(모델·S/N 대조)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작동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전원 인가 및 기능 동작 확인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부속·매뉴얼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부속품·운영매뉴얼·보증서 인수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 등재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중요재산 대장 등재 및 라벨 부착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40" w:before="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C00000"/>
          <w:sz w:val="17"/>
          <w:szCs w:val="17"/>
        </w:rPr>
        <w:t xml:space="preserve">※ 취득가액 50만원 초과 자산은 취득 후 15일 이내 중요재산 보고 의무(통합관리지침 §46①)</w:t>
      </w:r>
    </w:p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검수하였음을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2026.09.04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2026-09-04T04:04:23.044Z</dcterms:created>
  <dcterms:modified xsi:type="dcterms:W3CDTF">2026-09-04T04:04:23.044Z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