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CADB" w14:textId="77777777" w:rsidR="000568CA" w:rsidRPr="005F774B" w:rsidRDefault="000568CA" w:rsidP="005F774B">
      <w:pPr>
        <w:spacing w:after="60" w:line="360" w:lineRule="auto"/>
        <w:jc w:val="center"/>
        <w:rPr>
          <w:rFonts w:cs="Times New Roman"/>
          <w:sz w:val="24"/>
        </w:rPr>
      </w:pPr>
      <w:r>
        <w:rPr>
          <w:rFonts w:cs="Times New Roman"/>
          <w:b/>
          <w:bCs/>
          <w:sz w:val="24"/>
        </w:rPr>
        <w:t>A Decision Support System for Johor Property Price Estimation Using Data Mining</w:t>
      </w:r>
    </w:p>
    <w:p w14:paraId="1896EBC2" w14:textId="77777777" w:rsidR="000568CA" w:rsidRDefault="000568CA" w:rsidP="005F774B">
      <w:pPr>
        <w:spacing w:after="60" w:line="360" w:lineRule="auto"/>
        <w:jc w:val="center"/>
        <w:rPr>
          <w:rFonts w:cs="Times New Roman"/>
          <w:sz w:val="24"/>
        </w:rPr>
      </w:pPr>
      <w:r>
        <w:rPr>
          <w:rFonts w:cs="Times New Roman"/>
          <w:sz w:val="24"/>
        </w:rPr>
        <w:t>BS23124 Data Mining and Data Warehousing — Mini Project</w:t>
      </w:r>
    </w:p>
    <w:p w14:paraId="6407B044" w14:textId="5CF26C41" w:rsidR="005F36C1" w:rsidRDefault="005F36C1" w:rsidP="005F774B">
      <w:pPr>
        <w:spacing w:after="60" w:line="360" w:lineRule="auto"/>
        <w:jc w:val="center"/>
        <w:rPr>
          <w:rFonts w:cs="Times New Roman"/>
          <w:sz w:val="24"/>
        </w:rPr>
      </w:pPr>
      <w:r>
        <w:rPr>
          <w:rFonts w:cs="Times New Roman"/>
          <w:sz w:val="24"/>
        </w:rPr>
        <w:t>LEE WEN XIN, JAFF GO, CHEW SEE YUAN</w:t>
      </w:r>
    </w:p>
    <w:p w14:paraId="771740D7" w14:textId="66317510" w:rsidR="00B70842" w:rsidRDefault="00156F3A" w:rsidP="005F774B">
      <w:pPr>
        <w:spacing w:after="60" w:line="360" w:lineRule="auto"/>
        <w:jc w:val="center"/>
        <w:rPr>
          <w:rFonts w:cs="Times New Roman"/>
          <w:sz w:val="24"/>
        </w:rPr>
      </w:pPr>
      <w:r>
        <w:rPr>
          <w:rFonts w:cs="Times New Roman"/>
          <w:sz w:val="24"/>
        </w:rPr>
        <w:t>BIT_B2201F-2505004, BIT_A2201-2501001, BIT_A2201F- 2509002</w:t>
      </w:r>
    </w:p>
    <w:p w14:paraId="54CFDAD0" w14:textId="08924D0A" w:rsidR="005F36C1" w:rsidRDefault="005F36C1" w:rsidP="005F774B">
      <w:pPr>
        <w:spacing w:after="60" w:line="360" w:lineRule="auto"/>
        <w:jc w:val="center"/>
        <w:rPr>
          <w:rFonts w:cs="Times New Roman"/>
          <w:sz w:val="24"/>
        </w:rPr>
      </w:pPr>
      <w:hyperlink r:id="rId8" w:history="1">
        <w:r>
          <w:rPr>
            <w:rStyle w:val="Hyperlink"/>
            <w:rFonts w:cs="Times New Roman"/>
            <w:sz w:val="24"/>
          </w:rPr>
          <w:t>lee.wenxin@raffles.university</w:t>
        </w:r>
      </w:hyperlink>
    </w:p>
    <w:p w14:paraId="4E7F4D11" w14:textId="77777777" w:rsidR="00B70842" w:rsidRDefault="00B70842" w:rsidP="00B70842">
      <w:pPr>
        <w:spacing w:after="60" w:line="360" w:lineRule="auto"/>
        <w:jc w:val="center"/>
        <w:rPr>
          <w:rFonts w:cs="Times New Roman"/>
          <w:sz w:val="24"/>
        </w:rPr>
      </w:pPr>
      <w:hyperlink r:id="rId9" w:history="1">
        <w:r>
          <w:rPr>
            <w:rStyle w:val="Hyperlink"/>
            <w:rFonts w:cs="Times New Roman"/>
            <w:sz w:val="24"/>
          </w:rPr>
          <w:t>jaff.go@raffles.university</w:t>
        </w:r>
      </w:hyperlink>
    </w:p>
    <w:p w14:paraId="66199DEC" w14:textId="79F73E88" w:rsidR="005F36C1" w:rsidRPr="005F774B" w:rsidRDefault="00B70842" w:rsidP="00156F3A">
      <w:pPr>
        <w:spacing w:after="60" w:line="360" w:lineRule="auto"/>
        <w:jc w:val="center"/>
        <w:rPr>
          <w:rFonts w:cs="Times New Roman"/>
          <w:sz w:val="24"/>
          <w:lang w:eastAsia="zh-CN"/>
        </w:rPr>
      </w:pPr>
      <w:hyperlink r:id="rId10" w:history="1">
        <w:r>
          <w:rPr>
            <w:rStyle w:val="Hyperlink"/>
            <w:rFonts w:cs="Times New Roman"/>
            <w:sz w:val="24"/>
          </w:rPr>
          <w:t>Chew.SY@raffles.university</w:t>
        </w:r>
      </w:hyperlink>
    </w:p>
    <w:p w14:paraId="2B586ED5" w14:textId="77777777" w:rsidR="000568CA" w:rsidRPr="005F774B" w:rsidRDefault="000568CA" w:rsidP="005F774B">
      <w:pPr>
        <w:spacing w:after="120" w:line="360" w:lineRule="auto"/>
        <w:rPr>
          <w:rFonts w:cs="Times New Roman"/>
          <w:b/>
          <w:bCs/>
          <w:sz w:val="24"/>
          <w:u w:val="single"/>
        </w:rPr>
      </w:pPr>
    </w:p>
    <w:p w14:paraId="49B08C4B" w14:textId="02177A40" w:rsidR="000568CA" w:rsidRPr="005F774B" w:rsidRDefault="000568CA" w:rsidP="005F774B">
      <w:pPr>
        <w:spacing w:after="120" w:line="360" w:lineRule="auto"/>
        <w:jc w:val="center"/>
        <w:rPr>
          <w:rFonts w:cs="Times New Roman"/>
          <w:b/>
          <w:bCs/>
          <w:sz w:val="24"/>
          <w:u w:val="single"/>
        </w:rPr>
      </w:pPr>
      <w:r>
        <w:rPr>
          <w:rFonts w:cs="Times New Roman"/>
          <w:b/>
          <w:bCs/>
          <w:sz w:val="24"/>
          <w:u w:val="single"/>
        </w:rPr>
        <w:t>Abstract</w:t>
      </w:r>
    </w:p>
    <w:p w14:paraId="794AC354" w14:textId="77777777" w:rsidR="0040579B" w:rsidRDefault="005F36C1" w:rsidP="005F774B">
      <w:pPr>
        <w:spacing w:after="120" w:line="360" w:lineRule="auto"/>
        <w:jc w:val="both"/>
        <w:rPr>
          <w:rFonts w:cs="Times New Roman"/>
          <w:sz w:val="24"/>
        </w:rPr>
      </w:pPr>
      <w:r>
        <w:rPr>
          <w:rFonts w:cs="Times New Roman"/>
          <w:sz w:val="24"/>
        </w:rPr>
        <w:t>Buying a house is one of the largest financial decisions an ordinary person makes, yet ordinary buyers have no objective way to judge whether a listed price is reasonable: developers and investors hold valuation tools and transaction data, while the ordinary buyer faces the greatest information asymmetry and is exposed to over-pricing. To address this, this project develops a decision support system (DSS) that helps ordinary home buyers in Johor judge whether a property's asking price is reasonable. Property listings were collected through web scraping (Mudah, PropertyGuru) and combined with a public dataset, then cleaned and consolidated into a 3,108-row raw dataset spanning 18 districts. After removing 597 fully duplicate rows (about 19% of the raw data) and applying a grouped train-test split to prevent data leakage, the working dataset comprised 2,511 records. Three data mining models (Linear Regression, Decision Tree, Random Forest) were trained and compared; Random Forest performed best (R² = 0.671, RMSE ≈ RM 298,614, MAE ≈ RM 166,556). The system returns a price estimate, a reasonable price range, and an Overpriced / Fair / Underpriced verdict, and separately mines Apriori association rules that surface hidden If-Then pricing patterns (e.g. which district/type/size combinations associate with low or high price bands), through a Streamlit interface backed by a three-table SQLite database. Rather than claiming false precision, the system explicitly communicates its uncertainty, which we argue is more useful for the target user.</w:t>
      </w:r>
    </w:p>
    <w:p w14:paraId="63C6A17F" w14:textId="45A99A5A" w:rsidR="006C1A3D" w:rsidRPr="005F774B" w:rsidRDefault="000C0B10" w:rsidP="005F774B">
      <w:pPr>
        <w:spacing w:after="120" w:line="360" w:lineRule="auto"/>
        <w:jc w:val="both"/>
        <w:rPr>
          <w:rFonts w:cs="Times New Roman"/>
          <w:sz w:val="24"/>
        </w:rPr>
        <w:sectPr w:rsidR="006C1A3D" w:rsidRPr="005F774B" w:rsidSect="000568CA">
          <w:footerReference w:type="default" r:id="rId11"/>
          <w:type w:val="continuous"/>
          <w:pgSz w:w="11906" w:h="16838"/>
          <w:pgMar w:top="1440" w:right="1440" w:bottom="1440" w:left="1440" w:header="708" w:footer="708" w:gutter="0"/>
          <w:cols w:space="720"/>
          <w:docGrid w:linePitch="360"/>
        </w:sectPr>
      </w:pPr>
      <w:r>
        <w:rPr>
          <w:rFonts w:cs="Times New Roman"/>
          <w:b/>
          <w:bCs/>
          <w:i/>
          <w:iCs/>
          <w:sz w:val="24"/>
        </w:rPr>
        <w:t>Keywords—Automated Valuation Model (AVM), Decision Support System, Random Forest.</w:t>
      </w:r>
    </w:p>
    <w:p w14:paraId="2C0F31DB" w14:textId="34C095CE" w:rsidR="000568CA" w:rsidRPr="006C1A3D" w:rsidRDefault="001575BF" w:rsidP="005F774B">
      <w:pPr>
        <w:pStyle w:val="Heading1"/>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hint="eastAsia"/>
          <w:b/>
          <w:bCs/>
          <w:sz w:val="24"/>
          <w:szCs w:val="24"/>
          <w:lang w:eastAsia="zh-CN"/>
        </w:rPr>
        <w:t xml:space="preserve">I. </w:t>
      </w:r>
      <w:r>
        <w:rPr>
          <w:rFonts w:ascii="Times New Roman" w:eastAsiaTheme="minorEastAsia" w:hAnsi="Times New Roman" w:cs="Times New Roman"/>
          <w:b/>
          <w:bCs/>
          <w:sz w:val="24"/>
          <w:szCs w:val="24"/>
        </w:rPr>
        <w:t>I</w:t>
      </w:r>
      <w:r>
        <w:rPr>
          <w:rFonts w:ascii="Times New Roman" w:eastAsiaTheme="minorEastAsia" w:hAnsi="Times New Roman" w:cs="Times New Roman"/>
          <w:b/>
          <w:bCs/>
          <w:sz w:val="24"/>
          <w:szCs w:val="24"/>
          <w:lang w:eastAsia="zh-CN"/>
        </w:rPr>
        <w:t>ntroduction</w:t>
      </w:r>
    </w:p>
    <w:p w14:paraId="5DF8764C" w14:textId="77777777" w:rsidR="000568CA" w:rsidRPr="005F774B" w:rsidRDefault="000568CA" w:rsidP="005F774B">
      <w:pPr>
        <w:spacing w:after="120" w:line="360" w:lineRule="auto"/>
        <w:jc w:val="both"/>
        <w:rPr>
          <w:rFonts w:cs="Times New Roman"/>
          <w:sz w:val="24"/>
        </w:rPr>
      </w:pPr>
      <w:r>
        <w:rPr>
          <w:rFonts w:cs="Times New Roman"/>
          <w:sz w:val="24"/>
        </w:rPr>
        <w:t>Buying a house is one of the largest financial decisions an ordinary person makes, yet most buyers have no objective way to judge whether a listed price is fair. Property developers have valuation teams and professional investors have transaction databases, but the ordinary buyer faces the greatest information asymmetry: when they see a listing priced at RM 600,000, they cannot easily tell whether it is fairly priced or inflated.</w:t>
      </w:r>
    </w:p>
    <w:p>
      <w:pPr>
        <w:spacing w:after="120" w:line="360" w:lineRule="auto"/>
        <w:jc w:val="both"/>
        <w:rPr>
          <w:rFonts w:cs="Times New Roman"/>
          <w:sz w:val="24"/>
        </w:rPr>
      </w:pPr>
      <w:r>
        <w:rPr>
          <w:b/>
          <w:bCs/>
          <w:rFonts w:cs="Times New Roman"/>
          <w:sz w:val="24"/>
        </w:rPr>
        <w:t xml:space="preserve">Problem Statement: </w:t>
      </w:r>
      <w:r>
        <w:rPr>
          <w:rFonts w:cs="Times New Roman"/>
          <w:sz w:val="24"/>
        </w:rPr>
        <w:t xml:space="preserve">ordinary home buyers in Johor have no objective way to judge whether a listed property's asking price is reasonable, because they lack the valuation tools and transaction data that developers and investors already have.</w:t>
      </w:r>
    </w:p>
    <w:p w14:paraId="1FDF365A" w14:textId="77777777" w:rsidR="000568CA" w:rsidRPr="005F774B" w:rsidRDefault="000568CA" w:rsidP="005F774B">
      <w:pPr>
        <w:spacing w:after="120" w:line="360" w:lineRule="auto"/>
        <w:jc w:val="both"/>
        <w:rPr>
          <w:rFonts w:cs="Times New Roman"/>
          <w:sz w:val="24"/>
        </w:rPr>
      </w:pPr>
      <w:r>
        <w:rPr>
          <w:rFonts w:cs="Times New Roman"/>
          <w:sz w:val="24"/>
        </w:rPr>
        <w:t xml:space="preserve">This project defines its user precisely as the ordinary home buyer, because that is where a decision support tool adds the most value. The system answers one concrete question:</w:t>
      </w:r>
      <w:r>
        <w:rPr>
          <w:b/>
          <w:bCs/>
          <w:i/>
          <w:iCs/>
          <w:rFonts w:cs="Times New Roman"/>
          <w:sz w:val="24"/>
        </w:rPr>
        <w:t xml:space="preserve"> “For a house with these characteristics, what is a reasonable price, and is the asking price high, fair, or low?”</w:t>
      </w:r>
    </w:p>
    <w:p w14:paraId="5134CE05" w14:textId="2E71D6FC" w:rsidR="000568CA" w:rsidRPr="006C1A3D" w:rsidRDefault="001575BF"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II. </w:t>
      </w:r>
      <w:r>
        <w:rPr>
          <w:rFonts w:ascii="Times New Roman" w:hAnsi="Times New Roman" w:cs="Times New Roman"/>
          <w:b/>
          <w:bCs/>
          <w:sz w:val="24"/>
          <w:szCs w:val="24"/>
        </w:rPr>
        <w:t>Background Study</w:t>
      </w:r>
    </w:p>
    <w:p w14:paraId="10053034" w14:textId="77777777" w:rsidR="0040579B" w:rsidRPr="005F774B" w:rsidRDefault="000568CA" w:rsidP="005F774B">
      <w:pPr>
        <w:spacing w:after="120" w:line="360" w:lineRule="auto"/>
        <w:jc w:val="both"/>
        <w:rPr>
          <w:rFonts w:cs="Times New Roman"/>
          <w:sz w:val="24"/>
        </w:rPr>
      </w:pPr>
      <w:r>
        <w:rPr>
          <w:rFonts w:cs="Times New Roman"/>
          <w:sz w:val="24"/>
        </w:rPr>
        <w:t xml:space="preserve">Automated property valuation is an established application of machine learning, commonly referred to as an Automated Valuation Model (AVM). Prior work generally </w:t>
      </w:r>
    </w:p>
    <w:p w14:paraId="71D07FEA" w14:textId="7C742D92" w:rsidR="000568CA" w:rsidRPr="005F774B" w:rsidRDefault="000568CA" w:rsidP="005F774B">
      <w:pPr>
        <w:spacing w:after="120" w:line="360" w:lineRule="auto"/>
        <w:jc w:val="both"/>
        <w:rPr>
          <w:rFonts w:cs="Times New Roman"/>
          <w:sz w:val="24"/>
        </w:rPr>
      </w:pPr>
      <w:r>
        <w:rPr>
          <w:rFonts w:cs="Times New Roman"/>
          <w:sz w:val="24"/>
        </w:rPr>
        <w:t>treats price prediction as a supervised regression problem, using property attributes (location, size, type, rooms) as features and the transacted or listed price as the target.</w:t>
      </w:r>
    </w:p>
    <w:p w14:paraId="6C5E3761" w14:textId="7C801830" w:rsidR="005F774B" w:rsidRPr="005F774B" w:rsidRDefault="000568CA" w:rsidP="005F774B">
      <w:pPr>
        <w:spacing w:after="120" w:line="360" w:lineRule="auto"/>
        <w:jc w:val="both"/>
        <w:rPr>
          <w:rFonts w:cs="Times New Roman"/>
          <w:sz w:val="24"/>
        </w:rPr>
      </w:pPr>
      <w:r>
        <w:rPr>
          <w:rFonts w:cs="Times New Roman"/>
          <w:sz w:val="24"/>
        </w:rPr>
        <w:t xml:space="preserve">Tree-based ensemble methods such as Random Forest are widely used for this task because they capture non-linear relationships and feature interactions without heavy feature </w:t>
        <w:lastRenderedPageBreak/>
        <w:t>engineering, and they are robust to outliers compared with linear models</w:t>
      </w:r>
      <w:r>
        <w:rPr>
          <w:rFonts w:cs="Times New Roman" w:hint="eastAsia"/>
          <w:sz w:val="24"/>
          <w:lang w:eastAsia="zh-CN"/>
        </w:rPr>
        <w:t xml:space="preserve"> </w:t>
      </w:r>
      <w:r>
        <w:rPr>
          <w:rFonts w:cs="Times New Roman"/>
          <w:sz w:val="24"/>
        </w:rPr>
        <w:t>[1].</w:t>
      </w:r>
    </w:p>
    <w:p w14:paraId="24F30201" w14:textId="24F30201" w:rsidR="000568CA" w:rsidRPr="005F774B" w:rsidRDefault="000568CA" w:rsidP="005F774B">
      <w:pPr>
        <w:spacing w:after="120" w:line="360" w:lineRule="auto"/>
        <w:jc w:val="both"/>
        <w:rPr>
          <w:rFonts w:cs="Times New Roman"/>
          <w:sz w:val="24"/>
        </w:rPr>
      </w:pPr>
      <w:r>
        <w:rPr>
          <w:rFonts w:cs="Times New Roman"/>
          <w:sz w:val="24"/>
        </w:rPr>
        <w:t>Empirical results support this claim. Using a sample of about 40,000 Hong Kong property transactions spanning 18 years, Ho, Tang and Wong [1] found Random Forest and Gradient Boosting Machine to outperform Support Vector Machine, with the best model built on a rich feature set that included floor level, orientation and distance to the nearest transport node.</w:t>
      </w:r>
    </w:p>
    <w:p w14:paraId="24F30202" w14:textId="24F30202" w:rsidR="000568CA" w:rsidRPr="005F774B" w:rsidRDefault="000568CA" w:rsidP="005F774B">
      <w:pPr>
        <w:spacing w:after="120" w:line="360" w:lineRule="auto"/>
        <w:jc w:val="both"/>
        <w:rPr>
          <w:rFonts w:cs="Times New Roman"/>
          <w:sz w:val="24"/>
        </w:rPr>
      </w:pPr>
      <w:r>
        <w:rPr>
          <w:rFonts w:cs="Times New Roman"/>
          <w:sz w:val="24"/>
        </w:rPr>
        <w:t>Beyond the modelling technique itself, the features available to a model set an upper bound on its achievable accuracy. Non-ML studies of the Malaysian housing market link monetary policy — interest rates and money supply — to housing affordability, finding money supply to be a significant long-run driver [2]. Macro variables of this kind, as well as property-level attributes such as age, renovation status or orientation, are not available in the dataset used in this project, which motivates the discussion of accuracy limits in Section VI.</w:t>
      </w:r>
    </w:p>
    <w:p w14:paraId="24F30203" w14:textId="24F30203" w:rsidR="000568CA" w:rsidRPr="005F774B" w:rsidRDefault="000568CA" w:rsidP="005F774B">
      <w:pPr>
        <w:spacing w:after="120" w:line="360" w:lineRule="auto"/>
        <w:jc w:val="both"/>
        <w:rPr>
          <w:rFonts w:cs="Times New Roman"/>
          <w:sz w:val="24"/>
        </w:rPr>
      </w:pPr>
      <w:r>
        <w:rPr>
          <w:rFonts w:cs="Times New Roman"/>
          <w:sz w:val="24"/>
        </w:rPr>
        <w:t>More recently, Oh, Hang and Wang [3] applied Decision Tree, Random Forest and Multilayer Perceptron, combined with principal component analysis (PCA), to terrace-house listings in Kuala Lumpur, again finding Random Forest to be the strongest model. Their reported R² of 0.74–0.75 is somewhat higher than the value obtained in this project, which is consistent with their use of a larger, pre-filtered dataset restricted to a single property type.</w:t>
      </w:r>
    </w:p>
    <w:p w14:paraId="24F30204" w14:textId="24F30204" w:rsidR="000568CA" w:rsidRPr="005F774B" w:rsidRDefault="000568CA" w:rsidP="005F774B">
      <w:pPr>
        <w:spacing w:after="120" w:line="360" w:lineRule="auto"/>
        <w:jc w:val="both"/>
        <w:rPr>
          <w:rFonts w:cs="Times New Roman"/>
          <w:sz w:val="24"/>
        </w:rPr>
      </w:pPr>
      <w:r>
        <w:rPr>
          <w:rFonts w:cs="Times New Roman"/>
          <w:sz w:val="24"/>
        </w:rPr>
        <w:t>A separate line of work asks whether combining multiple models improves on a single best model. Nnadozie, Matthias and Bennett [4] combined Random Forest with other base learners in a multi-level stacking ensemble for real estate price prediction in Nigeria, reporting gains over individual base learners, though on a small, single-city dataset. However, Chan [5] found this benefit is not guaranteed: a stacked generalisation ensemble outperformed Random Forest on a California rental dataset, but a single Random Forest model outperformed the same ensemble architecture on a Texas dataset, suggesting that the value of ensembling depends on the diversity of the base models and on the dataset itself. This motivates treating ensemble methods as future work (Section VII) rather than a guaranteed improvement.</w:t>
      </w:r>
    </w:p>
    <w:p w14:paraId="24F30222" w14:textId="697C11EA" w:rsidR="000568CA" w:rsidRPr="006C1A3D" w:rsidRDefault="001575BF"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III. </w:t>
      </w:r>
      <w:r>
        <w:rPr>
          <w:rFonts w:ascii="Times New Roman" w:hAnsi="Times New Roman" w:cs="Times New Roman"/>
          <w:b/>
          <w:bCs/>
          <w:sz w:val="24"/>
          <w:szCs w:val="24"/>
        </w:rPr>
        <w:t>Methodology</w:t>
      </w:r>
    </w:p>
    <w:p w14:paraId="19A585C1" w14:textId="2DC3FE31" w:rsidR="000568CA" w:rsidRPr="00B5315B" w:rsidRDefault="000568CA" w:rsidP="006C1A3D">
      <w:pPr>
        <w:pStyle w:val="Heading2"/>
        <w:numPr>
          <w:ilvl w:val="0"/>
          <w:numId w:val="12"/>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Data Collection (Web Scraping)</w:t>
      </w:r>
    </w:p>
    <w:p w14:paraId="3F91F2E4" w14:textId="5D1FD9EA" w:rsidR="0040579B" w:rsidRDefault="000568CA" w:rsidP="005F774B">
      <w:pPr>
        <w:spacing w:after="120" w:line="360" w:lineRule="auto"/>
        <w:jc w:val="both"/>
        <w:rPr>
          <w:rFonts w:cs="Times New Roman"/>
          <w:sz w:val="24"/>
        </w:rPr>
      </w:pPr>
      <w:r>
        <w:rPr>
          <w:rFonts w:cs="Times New Roman"/>
          <w:sz w:val="24"/>
        </w:rPr>
        <w:t>Data was collected from three sources: (1) Mudah.my listings via a Selenium-based scraper, (2) PropertyGuru listings via a second scraper, and (3) a public Malaysian property dataset for additional coverage. The scraping code is provided in the appendix (scraper_mudah.py, scraper_final.py).</w:t>
      </w:r>
    </w:p>
    <w:p w14:paraId="17FEA549" w14:textId="6AD21D3B" w:rsidR="00B95EF7" w:rsidRPr="00B95EF7" w:rsidRDefault="00B95EF7" w:rsidP="00B95EF7">
      <w:pPr>
        <w:spacing w:after="120" w:line="360" w:lineRule="auto"/>
        <w:jc w:val="center"/>
        <w:rPr>
          <w:rFonts w:cs="Times New Roman"/>
          <w:sz w:val="24"/>
          <w:u w:val="single"/>
        </w:rPr>
      </w:pPr>
      <w:r>
        <w:rPr>
          <w:rFonts w:cs="Times New Roman"/>
          <w:sz w:val="24"/>
          <w:u w:val="single"/>
        </w:rPr>
        <w:t>Table 1</w:t>
      </w:r>
      <w:r>
        <w:rPr>
          <w:rFonts w:cs="Times New Roman" w:hint="eastAsia"/>
          <w:sz w:val="24"/>
          <w:u w:val="single"/>
          <w:lang w:eastAsia="zh-CN"/>
        </w:rPr>
        <w:t>:</w:t>
      </w:r>
      <w:r>
        <w:rPr>
          <w:rFonts w:cs="Times New Roman"/>
          <w:sz w:val="24"/>
          <w:u w:val="single"/>
        </w:rPr>
        <w:t xml:space="preserve"> Dataset Sources and Records</w:t>
      </w:r>
    </w:p>
    <w:tbl>
      <w:tblPr>
        <w:tblStyle w:val="TableGrid"/>
        <w:tblW w:w="4380" w:type="dxa"/>
        <w:tblInd w:w="-5" w:type="dxa"/>
        <w:tblLook w:val="04A0" w:firstRow="1" w:lastRow="0" w:firstColumn="1" w:lastColumn="0" w:noHBand="0" w:noVBand="1"/>
      </w:tblPr>
      <w:tblGrid>
        <w:gridCol w:w="1603"/>
        <w:gridCol w:w="1452"/>
        <w:gridCol w:w="1325"/>
      </w:tblGrid>
      <w:tr w:rsidR="0040579B" w:rsidRPr="005F774B" w14:paraId="2F793CDC" w14:textId="77777777" w:rsidTr="0040579B">
        <w:trPr>
          <w:trHeight w:val="842"/>
        </w:trPr>
        <w:tc>
          <w:tcPr>
            <w:tcW w:w="1603" w:type="dxa"/>
          </w:tcPr>
          <w:p w14:paraId="21592C2E" w14:textId="3D5F699D" w:rsidR="0040579B" w:rsidRPr="004B08E9" w:rsidRDefault="0040579B" w:rsidP="005F774B">
            <w:pPr>
              <w:spacing w:after="120"/>
              <w:jc w:val="both"/>
              <w:rPr>
                <w:rFonts w:ascii="Times New Roman" w:hAnsi="Times New Roman" w:cs="Times New Roman"/>
                <w:b/>
                <w:bCs/>
              </w:rPr>
            </w:pPr>
            <w:r>
              <w:rPr>
                <w:rFonts w:ascii="Times New Roman" w:hAnsi="Times New Roman" w:cs="Times New Roman"/>
                <w:b/>
                <w:bCs/>
                <w:lang w:eastAsia="en-US"/>
              </w:rPr>
              <w:t>Source</w:t>
            </w:r>
          </w:p>
        </w:tc>
        <w:tc>
          <w:tcPr>
            <w:tcW w:w="1452" w:type="dxa"/>
          </w:tcPr>
          <w:p w14:paraId="7500B381" w14:textId="0136E5E2" w:rsidR="0040579B" w:rsidRPr="004B08E9" w:rsidRDefault="0040579B" w:rsidP="005F774B">
            <w:pPr>
              <w:spacing w:after="120"/>
              <w:jc w:val="both"/>
              <w:rPr>
                <w:rFonts w:ascii="Times New Roman" w:hAnsi="Times New Roman" w:cs="Times New Roman"/>
                <w:b/>
                <w:bCs/>
              </w:rPr>
            </w:pPr>
            <w:r>
              <w:rPr>
                <w:rFonts w:ascii="Times New Roman" w:hAnsi="Times New Roman" w:cs="Times New Roman"/>
                <w:b/>
                <w:bCs/>
              </w:rPr>
              <w:t>Type</w:t>
            </w:r>
          </w:p>
        </w:tc>
        <w:tc>
          <w:tcPr>
            <w:tcW w:w="1325" w:type="dxa"/>
          </w:tcPr>
          <w:p w14:paraId="36F3510D" w14:textId="25FE84CC" w:rsidR="0040579B" w:rsidRPr="004B08E9" w:rsidRDefault="0040579B" w:rsidP="005F774B">
            <w:pPr>
              <w:spacing w:after="120"/>
              <w:jc w:val="both"/>
              <w:rPr>
                <w:rFonts w:ascii="Times New Roman" w:hAnsi="Times New Roman" w:cs="Times New Roman"/>
                <w:b/>
                <w:bCs/>
              </w:rPr>
            </w:pPr>
            <w:r>
              <w:rPr>
                <w:rFonts w:ascii="Times New Roman" w:hAnsi="Times New Roman" w:cs="Times New Roman"/>
                <w:b/>
                <w:bCs/>
              </w:rPr>
              <w:t>Rows Kept</w:t>
            </w:r>
          </w:p>
        </w:tc>
      </w:tr>
      <w:tr w:rsidR="0040579B" w:rsidRPr="005F774B" w14:paraId="461A417F" w14:textId="77777777" w:rsidTr="0040579B">
        <w:trPr>
          <w:trHeight w:val="472"/>
        </w:trPr>
        <w:tc>
          <w:tcPr>
            <w:tcW w:w="1603" w:type="dxa"/>
          </w:tcPr>
          <w:p w14:paraId="5920954B" w14:textId="3323DDFD" w:rsidR="0040579B" w:rsidRPr="005F774B" w:rsidRDefault="0040579B" w:rsidP="005F774B">
            <w:pPr>
              <w:spacing w:after="120"/>
              <w:jc w:val="both"/>
              <w:rPr>
                <w:rFonts w:ascii="Times New Roman" w:hAnsi="Times New Roman" w:cs="Times New Roman"/>
              </w:rPr>
            </w:pPr>
            <w:r>
              <w:rPr>
                <w:rFonts w:ascii="Times New Roman" w:hAnsi="Times New Roman" w:cs="Times New Roman"/>
              </w:rPr>
              <w:t>Mudah.my</w:t>
            </w:r>
          </w:p>
        </w:tc>
        <w:tc>
          <w:tcPr>
            <w:tcW w:w="1452" w:type="dxa"/>
          </w:tcPr>
          <w:p w14:paraId="520C4220" w14:textId="54B26917" w:rsidR="0040579B" w:rsidRPr="005F774B" w:rsidRDefault="0040579B" w:rsidP="005F774B">
            <w:pPr>
              <w:spacing w:after="120"/>
              <w:jc w:val="both"/>
              <w:rPr>
                <w:rFonts w:ascii="Times New Roman" w:hAnsi="Times New Roman" w:cs="Times New Roman"/>
              </w:rPr>
            </w:pPr>
            <w:r>
              <w:rPr>
                <w:rFonts w:ascii="Times New Roman" w:hAnsi="Times New Roman" w:cs="Times New Roman"/>
              </w:rPr>
              <w:t>Scrap</w:t>
            </w:r>
          </w:p>
        </w:tc>
        <w:tc>
          <w:tcPr>
            <w:tcW w:w="1325" w:type="dxa"/>
          </w:tcPr>
          <w:p w14:paraId="3B51A456" w14:textId="61EECCC0" w:rsidR="0040579B" w:rsidRPr="005F774B" w:rsidRDefault="0040579B" w:rsidP="005F774B">
            <w:pPr>
              <w:spacing w:after="120"/>
              <w:jc w:val="both"/>
              <w:rPr>
                <w:rFonts w:ascii="Times New Roman" w:hAnsi="Times New Roman" w:cs="Times New Roman"/>
              </w:rPr>
            </w:pPr>
            <w:r>
              <w:rPr>
                <w:rFonts w:ascii="Times New Roman" w:hAnsi="Times New Roman" w:cs="Times New Roman"/>
              </w:rPr>
              <w:t>1968</w:t>
            </w:r>
          </w:p>
        </w:tc>
      </w:tr>
      <w:tr w:rsidR="0040579B" w:rsidRPr="005F774B" w14:paraId="34E3D6F7" w14:textId="77777777" w:rsidTr="0040579B">
        <w:trPr>
          <w:trHeight w:val="842"/>
        </w:trPr>
        <w:tc>
          <w:tcPr>
            <w:tcW w:w="1603" w:type="dxa"/>
          </w:tcPr>
          <w:p w14:paraId="784F7F33" w14:textId="438CED48" w:rsidR="0040579B" w:rsidRPr="005F774B" w:rsidRDefault="0040579B" w:rsidP="005F774B">
            <w:pPr>
              <w:spacing w:after="120"/>
              <w:jc w:val="both"/>
              <w:rPr>
                <w:rFonts w:ascii="Times New Roman" w:hAnsi="Times New Roman" w:cs="Times New Roman"/>
              </w:rPr>
            </w:pPr>
            <w:r>
              <w:rPr>
                <w:rFonts w:ascii="Times New Roman" w:hAnsi="Times New Roman" w:cs="Times New Roman"/>
              </w:rPr>
              <w:t>Kaggle(Public Dataset</w:t>
            </w:r>
          </w:p>
        </w:tc>
        <w:tc>
          <w:tcPr>
            <w:tcW w:w="1452" w:type="dxa"/>
          </w:tcPr>
          <w:p w14:paraId="1CCFAE1B" w14:textId="266F8EB9" w:rsidR="0040579B" w:rsidRPr="005F774B" w:rsidRDefault="0040579B" w:rsidP="005F774B">
            <w:pPr>
              <w:spacing w:after="120"/>
              <w:jc w:val="both"/>
              <w:rPr>
                <w:rFonts w:ascii="Times New Roman" w:hAnsi="Times New Roman" w:cs="Times New Roman"/>
              </w:rPr>
            </w:pPr>
            <w:r>
              <w:rPr>
                <w:rFonts w:ascii="Times New Roman" w:hAnsi="Times New Roman" w:cs="Times New Roman"/>
              </w:rPr>
              <w:t>Downloaded</w:t>
            </w:r>
          </w:p>
        </w:tc>
        <w:tc>
          <w:tcPr>
            <w:tcW w:w="1325" w:type="dxa"/>
          </w:tcPr>
          <w:p w14:paraId="66570EE8" w14:textId="5F9E71E1" w:rsidR="0040579B" w:rsidRPr="005F774B" w:rsidRDefault="0040579B" w:rsidP="005F774B">
            <w:pPr>
              <w:spacing w:after="120"/>
              <w:jc w:val="both"/>
              <w:rPr>
                <w:rFonts w:ascii="Times New Roman" w:hAnsi="Times New Roman" w:cs="Times New Roman"/>
              </w:rPr>
            </w:pPr>
            <w:r>
              <w:rPr>
                <w:rFonts w:ascii="Times New Roman" w:hAnsi="Times New Roman" w:cs="Times New Roman"/>
              </w:rPr>
              <w:t>1013</w:t>
            </w:r>
          </w:p>
        </w:tc>
      </w:tr>
      <w:tr w:rsidR="0040579B" w:rsidRPr="005F774B" w14:paraId="713A0796" w14:textId="77777777" w:rsidTr="0040579B">
        <w:trPr>
          <w:trHeight w:val="472"/>
        </w:trPr>
        <w:tc>
          <w:tcPr>
            <w:tcW w:w="1603" w:type="dxa"/>
          </w:tcPr>
          <w:p w14:paraId="23BA7ECD" w14:textId="67AD5815" w:rsidR="0040579B" w:rsidRPr="005F774B" w:rsidRDefault="0040579B" w:rsidP="005F774B">
            <w:pPr>
              <w:spacing w:after="120"/>
              <w:jc w:val="both"/>
              <w:rPr>
                <w:rFonts w:ascii="Times New Roman" w:hAnsi="Times New Roman" w:cs="Times New Roman"/>
              </w:rPr>
            </w:pPr>
            <w:r>
              <w:rPr>
                <w:rFonts w:ascii="Times New Roman" w:hAnsi="Times New Roman" w:cs="Times New Roman"/>
              </w:rPr>
              <w:t>PropertyGuru</w:t>
            </w:r>
          </w:p>
        </w:tc>
        <w:tc>
          <w:tcPr>
            <w:tcW w:w="1452" w:type="dxa"/>
          </w:tcPr>
          <w:p w14:paraId="449F335F" w14:textId="28115031" w:rsidR="0040579B" w:rsidRPr="005F774B" w:rsidRDefault="0040579B" w:rsidP="005F774B">
            <w:pPr>
              <w:spacing w:after="120"/>
              <w:jc w:val="both"/>
              <w:rPr>
                <w:rFonts w:ascii="Times New Roman" w:hAnsi="Times New Roman" w:cs="Times New Roman"/>
              </w:rPr>
            </w:pPr>
            <w:r>
              <w:rPr>
                <w:rFonts w:ascii="Times New Roman" w:hAnsi="Times New Roman" w:cs="Times New Roman"/>
              </w:rPr>
              <w:t>Scraped</w:t>
            </w:r>
          </w:p>
        </w:tc>
        <w:tc>
          <w:tcPr>
            <w:tcW w:w="1325" w:type="dxa"/>
          </w:tcPr>
          <w:p w14:paraId="2A82A67E" w14:textId="21DCFE0C" w:rsidR="0040579B" w:rsidRPr="005F774B" w:rsidRDefault="0040579B" w:rsidP="005F774B">
            <w:pPr>
              <w:spacing w:after="120"/>
              <w:jc w:val="both"/>
              <w:rPr>
                <w:rFonts w:ascii="Times New Roman" w:hAnsi="Times New Roman" w:cs="Times New Roman"/>
              </w:rPr>
            </w:pPr>
            <w:r>
              <w:rPr>
                <w:rFonts w:ascii="Times New Roman" w:hAnsi="Times New Roman" w:cs="Times New Roman"/>
              </w:rPr>
              <w:t>127</w:t>
            </w:r>
          </w:p>
        </w:tc>
      </w:tr>
      <w:tr w:rsidR="0040579B" w:rsidRPr="005F774B" w14:paraId="29B8AFBE" w14:textId="77777777" w:rsidTr="0040579B">
        <w:trPr>
          <w:trHeight w:val="472"/>
        </w:trPr>
        <w:tc>
          <w:tcPr>
            <w:tcW w:w="1603" w:type="dxa"/>
          </w:tcPr>
          <w:p w14:paraId="5B9F86DD" w14:textId="3281CFBF" w:rsidR="0040579B" w:rsidRPr="005F774B" w:rsidRDefault="0040579B" w:rsidP="005F774B">
            <w:pPr>
              <w:spacing w:after="120"/>
              <w:jc w:val="both"/>
              <w:rPr>
                <w:rFonts w:ascii="Times New Roman" w:hAnsi="Times New Roman" w:cs="Times New Roman"/>
              </w:rPr>
            </w:pPr>
            <w:r>
              <w:rPr>
                <w:rFonts w:ascii="Times New Roman" w:hAnsi="Times New Roman" w:cs="Times New Roman"/>
              </w:rPr>
              <w:lastRenderedPageBreak/>
              <w:t>Total</w:t>
            </w:r>
          </w:p>
        </w:tc>
        <w:tc>
          <w:tcPr>
            <w:tcW w:w="1452" w:type="dxa"/>
          </w:tcPr>
          <w:p w14:paraId="1205B2A4" w14:textId="77777777" w:rsidR="0040579B" w:rsidRPr="005F774B" w:rsidRDefault="0040579B" w:rsidP="005F774B">
            <w:pPr>
              <w:spacing w:after="120"/>
              <w:jc w:val="both"/>
              <w:rPr>
                <w:rFonts w:ascii="Times New Roman" w:hAnsi="Times New Roman" w:cs="Times New Roman"/>
              </w:rPr>
            </w:pPr>
          </w:p>
        </w:tc>
        <w:tc>
          <w:tcPr>
            <w:tcW w:w="1325" w:type="dxa"/>
          </w:tcPr>
          <w:p w14:paraId="7FA2F5B2" w14:textId="1C59BBD8" w:rsidR="0040579B" w:rsidRPr="005F774B" w:rsidRDefault="0040579B" w:rsidP="005F774B">
            <w:pPr>
              <w:spacing w:after="120"/>
              <w:jc w:val="both"/>
              <w:rPr>
                <w:rFonts w:ascii="Times New Roman" w:hAnsi="Times New Roman" w:cs="Times New Roman"/>
              </w:rPr>
            </w:pPr>
            <w:r>
              <w:rPr>
                <w:rFonts w:ascii="Times New Roman" w:hAnsi="Times New Roman" w:cs="Times New Roman"/>
              </w:rPr>
              <w:t>3108</w:t>
            </w:r>
          </w:p>
        </w:tc>
      </w:tr>
    </w:tbl>
    <w:p w14:paraId="6E19B5A9" w14:textId="77777777" w:rsidR="0040579B" w:rsidRPr="005F774B" w:rsidRDefault="0040579B" w:rsidP="005F774B">
      <w:pPr>
        <w:spacing w:after="120" w:line="360" w:lineRule="auto"/>
        <w:jc w:val="both"/>
        <w:rPr>
          <w:rFonts w:cs="Times New Roman"/>
          <w:i/>
          <w:iCs/>
        </w:rPr>
      </w:pPr>
      <w:r>
        <w:rPr>
          <w:rFonts w:cs="Times New Roman"/>
          <w:i/>
          <w:iCs/>
        </w:rPr>
        <w:t>Note: the 3,108 total above reflects rows collected before deduplication. 597 fully duplicate rows (about 19%) were subsequently removed during database construction, leaving 2,511 rows used for model training and evaluation (see Methodology, Data Cleaning and Consolidation).</w:t>
      </w:r>
    </w:p>
    <w:p w14:paraId="6A45E37C" w14:textId="66CDA11E" w:rsidR="000568CA" w:rsidRPr="00B5315B" w:rsidRDefault="000568CA" w:rsidP="006C1A3D">
      <w:pPr>
        <w:pStyle w:val="Heading2"/>
        <w:numPr>
          <w:ilvl w:val="0"/>
          <w:numId w:val="12"/>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Data Cleaning and Consolidation</w:t>
      </w:r>
    </w:p>
    <w:p w14:paraId="5648252E" w14:textId="77777777" w:rsidR="001575BF" w:rsidRDefault="000568CA" w:rsidP="001575BF">
      <w:pPr>
        <w:spacing w:after="120" w:line="360" w:lineRule="auto"/>
        <w:jc w:val="both"/>
        <w:rPr>
          <w:rFonts w:cs="Times New Roman"/>
          <w:sz w:val="24"/>
        </w:rPr>
      </w:pPr>
      <w:r>
        <w:rPr>
          <w:rFonts w:cs="Times New Roman"/>
          <w:sz w:val="24"/>
        </w:rPr>
        <w:t>Raw data contained several quality problems that, if left unaddressed, would corrupt the model. Cleaning focused on four issues:</w:t>
      </w:r>
    </w:p>
    <w:p w14:paraId="569590E8" w14:textId="5A2B9D8E" w:rsidR="001575BF" w:rsidRPr="001575BF" w:rsidRDefault="000568CA" w:rsidP="00EE1C72">
      <w:pPr>
        <w:pStyle w:val="ListParagraph"/>
        <w:numPr>
          <w:ilvl w:val="0"/>
          <w:numId w:val="23"/>
        </w:numPr>
        <w:spacing w:after="120" w:line="360" w:lineRule="auto"/>
        <w:jc w:val="both"/>
        <w:rPr>
          <w:rFonts w:cs="Times New Roman"/>
          <w:sz w:val="24"/>
        </w:rPr>
      </w:pPr>
      <w:r>
        <w:rPr>
          <w:rFonts w:cs="Times New Roman"/>
          <w:sz w:val="24"/>
        </w:rPr>
        <w:t>Location recovery: 395 rows had their location field set to the meaningless value “Johor” (the state, not a district). The real district was recovered from each row's address field using a sub-location mapping table, recovering 392 of 395 rows.</w:t>
      </w:r>
    </w:p>
    <w:p w14:paraId="064481EA" w14:textId="77777777" w:rsidR="001575BF" w:rsidRDefault="000568CA" w:rsidP="00EE1C72">
      <w:pPr>
        <w:pStyle w:val="ListParagraph"/>
        <w:numPr>
          <w:ilvl w:val="0"/>
          <w:numId w:val="23"/>
        </w:numPr>
        <w:spacing w:after="60" w:line="360" w:lineRule="auto"/>
        <w:jc w:val="both"/>
        <w:rPr>
          <w:rFonts w:cs="Times New Roman"/>
          <w:sz w:val="24"/>
        </w:rPr>
      </w:pPr>
      <w:r>
        <w:rPr>
          <w:rFonts w:cs="Times New Roman"/>
          <w:sz w:val="24"/>
        </w:rPr>
        <w:t>Region consolidation: merging multiple sources produced 226 fragmented location labels, 169 of which had five or fewer samples. To avoid high-cardinality sparsity that causes overfitting, township-level labels were generalised into 18 core districts based on geographic grouping.</w:t>
      </w:r>
    </w:p>
    <w:p w14:paraId="79535455" w14:textId="401F27BE" w:rsidR="000568CA" w:rsidRPr="001575BF" w:rsidRDefault="000568CA" w:rsidP="00EE1C72">
      <w:pPr>
        <w:pStyle w:val="ListParagraph"/>
        <w:numPr>
          <w:ilvl w:val="0"/>
          <w:numId w:val="23"/>
        </w:numPr>
        <w:spacing w:after="60" w:line="360" w:lineRule="auto"/>
        <w:jc w:val="both"/>
        <w:rPr>
          <w:rFonts w:cs="Times New Roman"/>
          <w:sz w:val="24"/>
        </w:rPr>
      </w:pPr>
      <w:r>
        <w:rPr>
          <w:rFonts w:cs="Times New Roman"/>
          <w:sz w:val="24"/>
        </w:rPr>
        <w:t>Outlier handling: built-up area contained impossible values (one listing recorded 213,939 sqft) and missing values; values outside 200–10,000 sqft were treated as invalid and missing values were imputed with the median.</w:t>
      </w:r>
    </w:p>
    <w:p w14:paraId="569590E9" w14:textId="5A2B9D8F" w:rsidR="001575BF" w:rsidRPr="001575BF" w:rsidRDefault="000568CA" w:rsidP="00EE1C72">
      <w:pPr>
        <w:pStyle w:val="ListParagraph"/>
        <w:numPr>
          <w:ilvl w:val="0"/>
          <w:numId w:val="23"/>
        </w:numPr>
        <w:spacing w:after="120" w:line="360" w:lineRule="auto"/>
        <w:jc w:val="both"/>
        <w:rPr>
          <w:rFonts w:cs="Times New Roman"/>
          <w:sz w:val="24"/>
        </w:rPr>
      </w:pPr>
      <w:r>
        <w:rPr>
          <w:rFonts w:cs="Times New Roman"/>
          <w:sz w:val="24"/>
        </w:rPr>
        <w:t xml:space="preserve">Duplicate removal and leakage-safe splitting: the raw 3,108-row dataset contained 597 fully duplicate rows (about 19% of the data). Left uncorrected, a random train-test split would place duplicates of the same listing on both sides of the split, letting the model effectively "see" test examples during training and producing inflated evaluation metrics. After removing the 597 duplicates, the remaining 2,511 rows were split into training and test sets using GroupShuffleSplit, grouping rows by property characteristics (district, property type, built-up area, bedrooms, bathrooms) so that near-identical listings stay entirely within one side of the split.</w:t>
      </w:r>
    </w:p>
    <w:p>
      <w:pPr>
        <w:spacing w:after="120" w:line="360" w:lineRule="auto"/>
        <w:jc w:val="both"/>
        <w:rPr>
          <w:rFonts w:cs="Times New Roman"/>
          <w:sz w:val="24"/>
        </w:rPr>
      </w:pPr>
      <w:r>
        <w:rPr>
          <w:rFonts w:cs="Times New Roman"/>
          <w:sz w:val="24"/>
        </w:rPr>
        <w:t xml:space="preserve">The location recovery, region consolidation, outlier handling and missing-value steps above were originally carried out by hand during data consolidation, before the raw scrapes were merged into johor_final.csv. To make them reproducible and auditable rather than a one-off manual pass, this logic has since been fully automated in build_database.py: it re-derives the district mapping, flags any Size_SQFT value outside 200–10,000 sqft or missing and replaces it with the in-range median, imputes missing Bedrooms/Bathrooms with the column median, and prints a before/after count for every check on each run (see Appendix). Running the automated script against the already-cleaned dataset reports 0 further anomalies on each of these checks — which confirms the original manual cleaning was complete, not that the checks are decorative; the 597 exact-duplicate rows described next are still detected and removed by this same script, since deduplication was not part of the original manual pass.</w:t>
      </w:r>
    </w:p>
    <w:p w14:paraId="0CD72A62" w14:textId="4CEC5C19" w:rsidR="000568CA" w:rsidRPr="00B5315B" w:rsidRDefault="000568CA" w:rsidP="006C1A3D">
      <w:pPr>
        <w:pStyle w:val="Heading2"/>
        <w:numPr>
          <w:ilvl w:val="0"/>
          <w:numId w:val="12"/>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Feature Selection</w:t>
      </w:r>
    </w:p>
    <w:p w14:paraId="35819B7D" w14:textId="77777777" w:rsidR="000568CA" w:rsidRPr="005F774B" w:rsidRDefault="000568CA" w:rsidP="005F774B">
      <w:pPr>
        <w:spacing w:after="120" w:line="360" w:lineRule="auto"/>
        <w:jc w:val="both"/>
        <w:rPr>
          <w:rFonts w:cs="Times New Roman"/>
          <w:sz w:val="24"/>
        </w:rPr>
      </w:pPr>
      <w:r>
        <w:rPr>
          <w:rFonts w:cs="Times New Roman"/>
          <w:sz w:val="24"/>
        </w:rPr>
        <w:t>The final model uses five features: district (Area), property type, built-up area, bedrooms, and bathrooms. A tenure (freehold/leasehold) feature was deliberately removed: although it does influence price, it was missing in over 90% of the scraped records, so retaining it would have forced the deletion or imputation of most of the dataset for negligible benefit.</w:t>
      </w:r>
    </w:p>
    <w:p w14:paraId="4836D27E" w14:textId="7A069785" w:rsidR="000568CA" w:rsidRPr="00B5315B" w:rsidRDefault="000568CA" w:rsidP="006C1A3D">
      <w:pPr>
        <w:pStyle w:val="Heading2"/>
        <w:numPr>
          <w:ilvl w:val="0"/>
          <w:numId w:val="12"/>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Models</w:t>
      </w:r>
    </w:p>
    <w:p w14:paraId="7A35FB92" w14:textId="77777777" w:rsidR="000568CA" w:rsidRPr="005F774B" w:rsidRDefault="000568CA" w:rsidP="005F774B">
      <w:pPr>
        <w:spacing w:after="120" w:line="360" w:lineRule="auto"/>
        <w:jc w:val="both"/>
        <w:rPr>
          <w:rFonts w:cs="Times New Roman"/>
          <w:sz w:val="24"/>
        </w:rPr>
      </w:pPr>
      <w:r>
        <w:rPr>
          <w:rFonts w:cs="Times New Roman"/>
          <w:sz w:val="24"/>
        </w:rPr>
        <w:t>Three models spanning a range of complexity were trained and compared, so that the comparison is meaningful rather than three near-identical models:</w:t>
      </w:r>
    </w:p>
    <w:p w14:paraId="0400FB0A" w14:textId="77777777" w:rsidR="000568CA" w:rsidRPr="005F774B" w:rsidRDefault="000568CA" w:rsidP="00EE1C72">
      <w:pPr>
        <w:pStyle w:val="ListParagraph"/>
        <w:numPr>
          <w:ilvl w:val="0"/>
          <w:numId w:val="24"/>
        </w:numPr>
        <w:spacing w:after="60" w:line="360" w:lineRule="auto"/>
        <w:contextualSpacing w:val="0"/>
        <w:jc w:val="both"/>
        <w:rPr>
          <w:rFonts w:cs="Times New Roman"/>
          <w:sz w:val="24"/>
        </w:rPr>
      </w:pPr>
      <w:r>
        <w:rPr>
          <w:rFonts w:cs="Times New Roman"/>
          <w:sz w:val="24"/>
        </w:rPr>
        <w:t>Linear Regression — a simple, interpretable baseline.</w:t>
      </w:r>
    </w:p>
    <w:p w14:paraId="34AB70CC" w14:textId="2B3A0842" w:rsidR="000568CA" w:rsidRPr="005F774B" w:rsidRDefault="000568CA" w:rsidP="00EE1C72">
      <w:pPr>
        <w:pStyle w:val="ListParagraph"/>
        <w:numPr>
          <w:ilvl w:val="0"/>
          <w:numId w:val="24"/>
        </w:numPr>
        <w:spacing w:after="60" w:line="360" w:lineRule="auto"/>
        <w:contextualSpacing w:val="0"/>
        <w:jc w:val="both"/>
        <w:rPr>
          <w:rFonts w:cs="Times New Roman"/>
          <w:sz w:val="24"/>
        </w:rPr>
      </w:pPr>
      <w:r>
        <w:rPr>
          <w:rFonts w:cs="Times New Roman"/>
          <w:sz w:val="24"/>
        </w:rPr>
        <w:t>Decision Tree — captures non-linearity but tends to overfit</w:t>
      </w:r>
      <w:r>
        <w:rPr>
          <w:rFonts w:cs="Times New Roman" w:hint="eastAsia"/>
          <w:sz w:val="24"/>
          <w:lang w:eastAsia="zh-CN"/>
        </w:rPr>
        <w:t xml:space="preserve"> </w:t>
      </w:r>
      <w:r>
        <w:rPr>
          <w:rFonts w:cs="Times New Roman"/>
          <w:sz w:val="24"/>
        </w:rPr>
        <w:t>[4].</w:t>
      </w:r>
    </w:p>
    <w:p w14:paraId="3013047F" w14:textId="77777777" w:rsidR="000568CA" w:rsidRPr="005F774B" w:rsidRDefault="000568CA" w:rsidP="00EE1C72">
      <w:pPr>
        <w:pStyle w:val="ListParagraph"/>
        <w:numPr>
          <w:ilvl w:val="0"/>
          <w:numId w:val="24"/>
        </w:numPr>
        <w:spacing w:after="60" w:line="360" w:lineRule="auto"/>
        <w:contextualSpacing w:val="0"/>
        <w:jc w:val="both"/>
        <w:rPr>
          <w:rFonts w:cs="Times New Roman"/>
          <w:sz w:val="24"/>
        </w:rPr>
      </w:pPr>
      <w:r>
        <w:rPr>
          <w:rFonts w:cs="Times New Roman"/>
          <w:sz w:val="24"/>
        </w:rPr>
        <w:t>Random Forest — an ensemble that captures non-linear feature interactions and resists overfitting.</w:t>
      </w:r>
    </w:p>
    <w:p>
      <w:pPr>
        <w:pStyle w:val="Heading2"/>
        <w:numPr>
          <w:ilvl w:val="0"/>
          <w:numId w:val="12"/>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Association Rule Mining (Hidden Patterns)</w:t>
      </w:r>
    </w:p>
    <w:p>
      <w:pPr>
        <w:spacing w:after="120" w:line="360" w:lineRule="auto"/>
        <w:jc w:val="both"/>
        <w:rPr>
          <w:rFonts w:cs="Times New Roman"/>
          <w:sz w:val="24"/>
        </w:rPr>
      </w:pPr>
      <w:r>
        <w:rPr>
          <w:rFonts w:cs="Times New Roman"/>
          <w:sz w:val="24"/>
        </w:rPr>
        <w:t xml:space="preserve">Beyond the three regression models above, the system separately mines association rules with the Apriori algorithm (mlxtend), going beyond the minimum project requirement to additionally surface CLO2-style “If-Then” patterns that a single regression model cannot express.</w:t>
      </w:r>
    </w:p>
    <w:p>
      <w:pPr>
        <w:spacing w:after="120" w:line="360" w:lineRule="auto"/>
        <w:jc w:val="both"/>
        <w:rPr>
          <w:rFonts w:cs="Times New Roman"/>
          <w:sz w:val="24"/>
        </w:rPr>
      </w:pPr>
      <w:r>
        <w:rPr>
          <w:rFonts w:cs="Times New Roman"/>
          <w:sz w:val="24"/>
        </w:rPr>
        <w:t xml:space="preserve">Each house is encoded as a transaction basket of five categorical items: district (Area), property type, a built-up-area tercile (Size=Small/Medium/Large), rounded bedroom count, and a price tercile (Price=Low/Mid/High, computed by splitting Price_RM into three equal-sized groups). Apriori is run with minimum support 0.03 and rules are kept at minimum confidence 0.5, scored by support (how often the pattern occurs), confidence (how often the rule holds when the antecedent is true), and lift (&gt;1 means the association is stronger than chance).</w:t>
      </w:r>
    </w:p>
    <w:p>
      <w:pPr>
        <w:spacing w:after="120" w:line="360" w:lineRule="auto"/>
        <w:jc w:val="both"/>
        <w:rPr>
          <w:rFonts w:cs="Times New Roman"/>
          <w:sz w:val="24"/>
        </w:rPr>
      </w:pPr>
      <w:r>
        <w:rPr>
          <w:rFonts w:cs="Times New Roman"/>
          <w:sz w:val="24"/>
        </w:rPr>
        <w:t xml:space="preserve">Re-running this exact procedure against the 2,511-row cleaned dataset mines 250 rules, 65 of which predict a price band. The strongest price-predicting rule is {Beds=2} → {Price=Low, Size=Small} (support 3.7%, confidence 70.2%, lift 3.25×); other high-lift rules include {Area=Kluang} → {Price=Low, Type=Terrace House} (confidence 78.2%, lift 2.98×) and {Type=Link Bungalow / Semi-Detached} → {Price=High} (confidence 92.0%, lift 2.76×). These rules are reported in Section V.</w:t>
      </w:r>
    </w:p>
    <w:p w14:paraId="64A0536D" w14:textId="273E3D27" w:rsidR="000568CA" w:rsidRPr="006C1A3D" w:rsidRDefault="000C0B10"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IV. </w:t>
      </w:r>
      <w:r>
        <w:rPr>
          <w:rFonts w:ascii="Times New Roman" w:hAnsi="Times New Roman" w:cs="Times New Roman"/>
          <w:b/>
          <w:bCs/>
          <w:sz w:val="24"/>
          <w:szCs w:val="24"/>
        </w:rPr>
        <w:t>Implementation</w:t>
      </w:r>
    </w:p>
    <w:p w14:paraId="75AD6DE3" w14:textId="289D5B75" w:rsidR="000568CA" w:rsidRPr="00B5315B" w:rsidRDefault="000568CA" w:rsidP="006C1A3D">
      <w:pPr>
        <w:pStyle w:val="Heading2"/>
        <w:numPr>
          <w:ilvl w:val="0"/>
          <w:numId w:val="13"/>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Database Design (Three Tables)</w:t>
      </w:r>
    </w:p>
    <w:p w14:paraId="195D8FE2" w14:textId="77777777" w:rsidR="000568CA" w:rsidRPr="005F774B" w:rsidRDefault="000568CA" w:rsidP="005F774B">
      <w:pPr>
        <w:spacing w:after="120" w:line="360" w:lineRule="auto"/>
        <w:jc w:val="both"/>
        <w:rPr>
          <w:rFonts w:cs="Times New Roman"/>
          <w:sz w:val="24"/>
        </w:rPr>
      </w:pPr>
      <w:r>
        <w:rPr>
          <w:rFonts w:cs="Times New Roman"/>
          <w:sz w:val="24"/>
        </w:rPr>
        <w:t>Data is stored in a SQLite database with three related tables, reflecting the three stages of the system:</w:t>
      </w:r>
    </w:p>
    <w:p w14:paraId="356592AA" w14:textId="77777777" w:rsidR="000568CA" w:rsidRPr="001575BF" w:rsidRDefault="000568CA" w:rsidP="00EE1C72">
      <w:pPr>
        <w:pStyle w:val="ListParagraph"/>
        <w:numPr>
          <w:ilvl w:val="0"/>
          <w:numId w:val="25"/>
        </w:numPr>
        <w:spacing w:after="60" w:line="360" w:lineRule="auto"/>
        <w:jc w:val="both"/>
        <w:rPr>
          <w:rFonts w:cs="Times New Roman"/>
          <w:sz w:val="24"/>
        </w:rPr>
      </w:pPr>
      <w:r>
        <w:rPr>
          <w:rFonts w:cs="Times New Roman"/>
          <w:sz w:val="24"/>
        </w:rPr>
        <w:lastRenderedPageBreak/>
        <w:t>master_property — each house's static attributes (district, type, size, bedrooms, bathrooms).</w:t>
      </w:r>
    </w:p>
    <w:p w14:paraId="14B85B21" w14:textId="77777777" w:rsidR="000568CA" w:rsidRPr="001575BF" w:rsidRDefault="000568CA" w:rsidP="00EE1C72">
      <w:pPr>
        <w:pStyle w:val="ListParagraph"/>
        <w:numPr>
          <w:ilvl w:val="0"/>
          <w:numId w:val="25"/>
        </w:numPr>
        <w:spacing w:after="60" w:line="360" w:lineRule="auto"/>
        <w:jc w:val="both"/>
        <w:rPr>
          <w:rFonts w:cs="Times New Roman"/>
          <w:sz w:val="24"/>
        </w:rPr>
      </w:pPr>
      <w:r>
        <w:rPr>
          <w:rFonts w:cs="Times New Roman"/>
          <w:sz w:val="24"/>
        </w:rPr>
        <w:t>transactions — price, source, and scrape date, linked to master_property by house_id.</w:t>
      </w:r>
    </w:p>
    <w:p w14:paraId="7F8CAC85" w14:textId="77777777" w:rsidR="000568CA" w:rsidRPr="001575BF" w:rsidRDefault="000568CA" w:rsidP="00EE1C72">
      <w:pPr>
        <w:pStyle w:val="ListParagraph"/>
        <w:numPr>
          <w:ilvl w:val="0"/>
          <w:numId w:val="25"/>
        </w:numPr>
        <w:spacing w:after="60" w:line="360" w:lineRule="auto"/>
        <w:jc w:val="both"/>
        <w:rPr>
          <w:rFonts w:cs="Times New Roman"/>
          <w:sz w:val="24"/>
        </w:rPr>
      </w:pPr>
      <w:r>
        <w:rPr>
          <w:rFonts w:cs="Times New Roman"/>
          <w:sz w:val="24"/>
        </w:rPr>
        <w:t>decision_log — every query the system processes is recorded here: the user's inputs, the predicted price, the range, and the verdict.</w:t>
      </w:r>
    </w:p>
    <w:p w14:paraId="52C3589C" w14:textId="77777777" w:rsidR="000568CA" w:rsidRPr="005F774B" w:rsidRDefault="000568CA" w:rsidP="005F774B">
      <w:pPr>
        <w:spacing w:after="120" w:line="360" w:lineRule="auto"/>
        <w:jc w:val="both"/>
        <w:rPr>
          <w:rFonts w:cs="Times New Roman"/>
          <w:sz w:val="24"/>
        </w:rPr>
      </w:pPr>
      <w:r>
        <w:rPr>
          <w:rFonts w:cs="Times New Roman"/>
          <w:sz w:val="24"/>
        </w:rPr>
        <w:t>The three tables are linked by house_id, forming a relational structure rather than three isolated tables.</w:t>
      </w:r>
    </w:p>
    <w:p w14:paraId="2B2B40E6" w14:textId="3983D9C8" w:rsidR="000568CA" w:rsidRPr="00B5315B" w:rsidRDefault="000568CA" w:rsidP="006C1A3D">
      <w:pPr>
        <w:pStyle w:val="Heading2"/>
        <w:numPr>
          <w:ilvl w:val="0"/>
          <w:numId w:val="13"/>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Decision Support System (Streamlit)</w:t>
      </w:r>
    </w:p>
    <w:p w14:paraId="3565846F" w14:textId="77777777" w:rsidR="000568CA" w:rsidRPr="005F774B" w:rsidRDefault="000568CA" w:rsidP="005F774B">
      <w:pPr>
        <w:spacing w:after="120" w:line="360" w:lineRule="auto"/>
        <w:jc w:val="both"/>
        <w:rPr>
          <w:rFonts w:cs="Times New Roman"/>
          <w:sz w:val="24"/>
        </w:rPr>
      </w:pPr>
      <w:r>
        <w:rPr>
          <w:rFonts w:cs="Times New Roman"/>
          <w:sz w:val="24"/>
        </w:rPr>
        <w:t>The system has three pages. The Price Check page takes house details and an optional asking price, then returns a predicted price, a reasonable range, and an Overpriced / Fair / Underpriced verdict. The Data Dashboard page presents eight chart types covering the dataset from different angles: a geographic map of listings, a histogram of price distribution, a horizontal bar chart of average price by district, a size-vs-price scatter coloured by property type, a model-comparison bar chart, a property-type and a data-source donut chart, a feature correlation heatmap, and a price-by-bedroom bar chart — satisfying the requirement to support the dataset with different kinds of statistical graphs rather than a single repeated chart type. The Hidden Patterns page exposes the Apriori-mined association rules described in Section III: users can filter mined rules by a minimum-lift slider and restrict the view to rules that predict a price band, view the rule table and a support-vs-confidence chart, and read a plain-language explanation of the single strongest rule found. The interface is intentionally minimal so the target user is not overwhelmed.</w:t>
      </w:r>
    </w:p>
    <w:p w14:paraId="129657BD" w14:textId="77777777" w:rsidR="000568CA" w:rsidRPr="005F774B" w:rsidRDefault="000568CA" w:rsidP="005F774B">
      <w:pPr>
        <w:spacing w:after="120" w:line="360" w:lineRule="auto"/>
        <w:jc w:val="both"/>
        <w:rPr>
          <w:rFonts w:cs="Times New Roman"/>
          <w:sz w:val="24"/>
        </w:rPr>
      </w:pPr>
      <w:r>
        <w:rPr>
          <w:rFonts w:cs="Times New Roman"/>
          <w:sz w:val="24"/>
        </w:rPr>
        <w:t>A key design decision is honesty about uncertainty. The reasonable range is derived from the model's real average error (±15%), not from the internal spread of the random-forest trees (which is artificially narrow and would imply false precision). The system also states explicitly that factors such as property age and renovation are not captured.</w:t>
      </w:r>
    </w:p>
    <w:p w14:paraId="2CB0B717" w14:textId="1E399EFC" w:rsidR="000568CA" w:rsidRPr="006C1A3D" w:rsidRDefault="001575BF"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V. </w:t>
      </w:r>
      <w:r>
        <w:rPr>
          <w:rFonts w:ascii="Times New Roman" w:hAnsi="Times New Roman" w:cs="Times New Roman"/>
          <w:b/>
          <w:bCs/>
          <w:sz w:val="24"/>
          <w:szCs w:val="24"/>
        </w:rPr>
        <w:t>Result Analysis</w:t>
      </w:r>
    </w:p>
    <w:p w14:paraId="126CC77F" w14:textId="30D2C32C" w:rsidR="000568CA" w:rsidRPr="00B5315B" w:rsidRDefault="000568CA" w:rsidP="006C1A3D">
      <w:pPr>
        <w:pStyle w:val="Heading2"/>
        <w:numPr>
          <w:ilvl w:val="0"/>
          <w:numId w:val="14"/>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Model Comparison</w:t>
      </w:r>
    </w:p>
    <w:p w14:paraId="20F214B9" w14:textId="168C1212" w:rsidR="0040579B" w:rsidRDefault="000568CA" w:rsidP="005F774B">
      <w:pPr>
        <w:spacing w:after="120" w:line="360" w:lineRule="auto"/>
        <w:jc w:val="both"/>
        <w:rPr>
          <w:rFonts w:cs="Times New Roman"/>
          <w:sz w:val="24"/>
        </w:rPr>
      </w:pPr>
      <w:r>
        <w:rPr>
          <w:rFonts w:cs="Times New Roman"/>
          <w:sz w:val="24"/>
        </w:rPr>
        <w:t>The three models were evaluated on a held-out 20% test set:</w:t>
      </w:r>
    </w:p>
    <w:p w14:paraId="078DAA0C" w14:textId="73D62014" w:rsidR="00B95EF7" w:rsidRPr="00B95EF7" w:rsidRDefault="00B95EF7" w:rsidP="00B95EF7">
      <w:pPr>
        <w:jc w:val="center"/>
        <w:rPr>
          <w:sz w:val="24"/>
          <w:u w:val="single"/>
        </w:rPr>
      </w:pPr>
      <w:r>
        <w:rPr>
          <w:sz w:val="24"/>
          <w:u w:val="single"/>
        </w:rPr>
        <w:t>Table 2. Evaluation Metrics Comparison</w:t>
      </w:r>
    </w:p>
    <w:tbl>
      <w:tblPr>
        <w:tblW w:w="443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006"/>
        <w:gridCol w:w="1044"/>
        <w:gridCol w:w="1044"/>
      </w:tblGrid>
      <w:tr w:rsidR="000568CA" w:rsidRPr="005F774B" w14:paraId="0D2AD6D8" w14:textId="77777777" w:rsidTr="005F774B">
        <w:trPr>
          <w:trHeight w:val="554"/>
        </w:trPr>
        <w:tc>
          <w:tcPr>
            <w:tcW w:w="133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B484B1" w14:textId="77777777" w:rsidR="000568CA" w:rsidRPr="005F774B" w:rsidRDefault="000568CA" w:rsidP="005F774B">
            <w:pPr>
              <w:spacing w:line="360" w:lineRule="auto"/>
              <w:jc w:val="both"/>
              <w:rPr>
                <w:rFonts w:cs="Times New Roman"/>
                <w:sz w:val="24"/>
              </w:rPr>
            </w:pPr>
            <w:r>
              <w:rPr>
                <w:rFonts w:cs="Times New Roman"/>
                <w:b/>
                <w:bCs/>
                <w:sz w:val="24"/>
              </w:rPr>
              <w:t>Model</w:t>
            </w:r>
          </w:p>
        </w:tc>
        <w:tc>
          <w:tcPr>
            <w:tcW w:w="100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537077" w14:textId="77777777" w:rsidR="000568CA" w:rsidRPr="005F774B" w:rsidRDefault="000568CA" w:rsidP="005F774B">
            <w:pPr>
              <w:spacing w:line="360" w:lineRule="auto"/>
              <w:jc w:val="both"/>
              <w:rPr>
                <w:rFonts w:cs="Times New Roman"/>
                <w:sz w:val="24"/>
              </w:rPr>
            </w:pPr>
            <w:r>
              <w:rPr>
                <w:rFonts w:cs="Times New Roman"/>
                <w:b/>
                <w:bCs/>
                <w:sz w:val="24"/>
              </w:rPr>
              <w:t>R² (higher better)</w:t>
            </w:r>
          </w:p>
        </w:tc>
        <w:tc>
          <w:tcPr>
            <w:tcW w:w="10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0E49F1" w14:textId="77777777" w:rsidR="000568CA" w:rsidRPr="005F774B" w:rsidRDefault="000568CA" w:rsidP="005F774B">
            <w:pPr>
              <w:spacing w:line="360" w:lineRule="auto"/>
              <w:jc w:val="both"/>
              <w:rPr>
                <w:rFonts w:cs="Times New Roman"/>
                <w:sz w:val="24"/>
              </w:rPr>
            </w:pPr>
            <w:r>
              <w:rPr>
                <w:rFonts w:cs="Times New Roman"/>
                <w:b/>
                <w:bCs/>
                <w:sz w:val="24"/>
              </w:rPr>
              <w:t>RMSE (RM)</w:t>
            </w:r>
          </w:p>
        </w:tc>
        <w:tc>
          <w:tcPr>
            <w:tcW w:w="10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376BAE" w14:textId="77777777" w:rsidR="000568CA" w:rsidRPr="005F774B" w:rsidRDefault="000568CA" w:rsidP="005F774B">
            <w:pPr>
              <w:spacing w:line="360" w:lineRule="auto"/>
              <w:jc w:val="both"/>
              <w:rPr>
                <w:rFonts w:cs="Times New Roman"/>
                <w:sz w:val="24"/>
              </w:rPr>
            </w:pPr>
            <w:r>
              <w:rPr>
                <w:rFonts w:cs="Times New Roman"/>
                <w:b/>
                <w:bCs/>
                <w:sz w:val="24"/>
              </w:rPr>
              <w:t>MAE (RM)</w:t>
            </w:r>
          </w:p>
        </w:tc>
      </w:tr>
      <w:tr w:rsidR="000568CA" w:rsidRPr="005F774B" w14:paraId="39D0E2F0" w14:textId="77777777" w:rsidTr="005F774B">
        <w:trPr>
          <w:trHeight w:val="554"/>
        </w:trPr>
        <w:tc>
          <w:tcPr>
            <w:tcW w:w="13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0CDD9" w14:textId="77777777" w:rsidR="000568CA" w:rsidRPr="005F774B" w:rsidRDefault="000568CA" w:rsidP="005F774B">
            <w:pPr>
              <w:spacing w:line="360" w:lineRule="auto"/>
              <w:jc w:val="both"/>
              <w:rPr>
                <w:rFonts w:cs="Times New Roman"/>
                <w:sz w:val="24"/>
              </w:rPr>
            </w:pPr>
            <w:r>
              <w:rPr>
                <w:rFonts w:cs="Times New Roman"/>
                <w:sz w:val="24"/>
              </w:rPr>
              <w:t>Linear Regression</w:t>
            </w:r>
          </w:p>
        </w:tc>
        <w:tc>
          <w:tcPr>
            <w:tcW w:w="1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5CC35" w14:textId="77777777" w:rsidR="000568CA" w:rsidRPr="005F774B" w:rsidRDefault="000568CA" w:rsidP="005F774B">
            <w:pPr>
              <w:spacing w:line="360" w:lineRule="auto"/>
              <w:jc w:val="both"/>
              <w:rPr>
                <w:rFonts w:cs="Times New Roman"/>
                <w:sz w:val="24"/>
              </w:rPr>
            </w:pPr>
            <w:r>
              <w:rPr>
                <w:rFonts w:cs="Times New Roman"/>
                <w:sz w:val="24"/>
              </w:rPr>
              <w:t>0.656</w:t>
            </w:r>
          </w:p>
        </w:tc>
        <w:tc>
          <w:tcPr>
            <w:tcW w:w="1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7E6F2" w14:textId="77777777" w:rsidR="000568CA" w:rsidRPr="005F774B" w:rsidRDefault="000568CA" w:rsidP="005F774B">
            <w:pPr>
              <w:spacing w:line="360" w:lineRule="auto"/>
              <w:jc w:val="both"/>
              <w:rPr>
                <w:rFonts w:cs="Times New Roman"/>
                <w:sz w:val="24"/>
              </w:rPr>
            </w:pPr>
            <w:r>
              <w:rPr>
                <w:rFonts w:cs="Times New Roman"/>
                <w:sz w:val="24"/>
              </w:rPr>
              <w:t>305,589</w:t>
            </w:r>
          </w:p>
        </w:tc>
        <w:tc>
          <w:tcPr>
            <w:tcW w:w="1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395A7" w14:textId="77777777" w:rsidR="000568CA" w:rsidRPr="005F774B" w:rsidRDefault="000568CA" w:rsidP="005F774B">
            <w:pPr>
              <w:spacing w:line="360" w:lineRule="auto"/>
              <w:jc w:val="both"/>
              <w:rPr>
                <w:rFonts w:cs="Times New Roman"/>
                <w:sz w:val="24"/>
              </w:rPr>
            </w:pPr>
            <w:r>
              <w:rPr>
                <w:rFonts w:cs="Times New Roman"/>
                <w:sz w:val="24"/>
              </w:rPr>
              <w:t>182,367</w:t>
            </w:r>
          </w:p>
        </w:tc>
      </w:tr>
      <w:tr w:rsidR="000568CA" w:rsidRPr="005F774B" w14:paraId="06573088" w14:textId="77777777" w:rsidTr="005F774B">
        <w:trPr>
          <w:trHeight w:val="554"/>
        </w:trPr>
        <w:tc>
          <w:tcPr>
            <w:tcW w:w="13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EDEAA" w14:textId="77777777" w:rsidR="000568CA" w:rsidRPr="005F774B" w:rsidRDefault="000568CA" w:rsidP="005F774B">
            <w:pPr>
              <w:spacing w:line="360" w:lineRule="auto"/>
              <w:jc w:val="both"/>
              <w:rPr>
                <w:rFonts w:cs="Times New Roman"/>
                <w:sz w:val="24"/>
              </w:rPr>
            </w:pPr>
            <w:r>
              <w:rPr>
                <w:rFonts w:cs="Times New Roman"/>
                <w:sz w:val="24"/>
              </w:rPr>
              <w:t>Decision Tree</w:t>
            </w:r>
          </w:p>
        </w:tc>
        <w:tc>
          <w:tcPr>
            <w:tcW w:w="1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0F28D" w14:textId="77777777" w:rsidR="000568CA" w:rsidRPr="005F774B" w:rsidRDefault="000568CA" w:rsidP="005F774B">
            <w:pPr>
              <w:spacing w:line="360" w:lineRule="auto"/>
              <w:jc w:val="both"/>
              <w:rPr>
                <w:rFonts w:cs="Times New Roman"/>
                <w:sz w:val="24"/>
              </w:rPr>
            </w:pPr>
            <w:r>
              <w:rPr>
                <w:rFonts w:cs="Times New Roman"/>
                <w:sz w:val="24"/>
              </w:rPr>
              <w:t>0.511</w:t>
            </w:r>
          </w:p>
        </w:tc>
        <w:tc>
          <w:tcPr>
            <w:tcW w:w="1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60069" w14:textId="77777777" w:rsidR="000568CA" w:rsidRPr="005F774B" w:rsidRDefault="000568CA" w:rsidP="005F774B">
            <w:pPr>
              <w:spacing w:line="360" w:lineRule="auto"/>
              <w:jc w:val="both"/>
              <w:rPr>
                <w:rFonts w:cs="Times New Roman"/>
                <w:sz w:val="24"/>
              </w:rPr>
            </w:pPr>
            <w:r>
              <w:rPr>
                <w:rFonts w:cs="Times New Roman"/>
                <w:sz w:val="24"/>
              </w:rPr>
              <w:t>364,235</w:t>
            </w:r>
          </w:p>
        </w:tc>
        <w:tc>
          <w:tcPr>
            <w:tcW w:w="1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A9947" w14:textId="77777777" w:rsidR="000568CA" w:rsidRPr="005F774B" w:rsidRDefault="000568CA" w:rsidP="005F774B">
            <w:pPr>
              <w:spacing w:line="360" w:lineRule="auto"/>
              <w:jc w:val="both"/>
              <w:rPr>
                <w:rFonts w:cs="Times New Roman"/>
                <w:sz w:val="24"/>
              </w:rPr>
            </w:pPr>
            <w:r>
              <w:rPr>
                <w:rFonts w:cs="Times New Roman"/>
                <w:sz w:val="24"/>
              </w:rPr>
              <w:t>185,119</w:t>
            </w:r>
          </w:p>
        </w:tc>
      </w:tr>
      <w:tr w:rsidR="000568CA" w:rsidRPr="005F774B" w14:paraId="5E672363" w14:textId="77777777" w:rsidTr="005F774B">
        <w:trPr>
          <w:trHeight w:val="554"/>
        </w:trPr>
        <w:tc>
          <w:tcPr>
            <w:tcW w:w="13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D8F12" w14:textId="77777777" w:rsidR="000568CA" w:rsidRPr="005F774B" w:rsidRDefault="000568CA" w:rsidP="005F774B">
            <w:pPr>
              <w:spacing w:line="360" w:lineRule="auto"/>
              <w:jc w:val="both"/>
              <w:rPr>
                <w:rFonts w:cs="Times New Roman"/>
                <w:sz w:val="24"/>
              </w:rPr>
            </w:pPr>
            <w:r>
              <w:rPr>
                <w:rFonts w:cs="Times New Roman"/>
                <w:sz w:val="24"/>
              </w:rPr>
              <w:t>Random Forest</w:t>
            </w:r>
          </w:p>
        </w:tc>
        <w:tc>
          <w:tcPr>
            <w:tcW w:w="10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69230" w14:textId="77777777" w:rsidR="000568CA" w:rsidRPr="005F774B" w:rsidRDefault="000568CA" w:rsidP="005F774B">
            <w:pPr>
              <w:spacing w:line="360" w:lineRule="auto"/>
              <w:jc w:val="both"/>
              <w:rPr>
                <w:rFonts w:cs="Times New Roman"/>
                <w:sz w:val="24"/>
              </w:rPr>
            </w:pPr>
            <w:r>
              <w:rPr>
                <w:rFonts w:cs="Times New Roman"/>
                <w:sz w:val="24"/>
              </w:rPr>
              <w:t>0.671</w:t>
            </w:r>
          </w:p>
        </w:tc>
        <w:tc>
          <w:tcPr>
            <w:tcW w:w="1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FD72" w14:textId="77777777" w:rsidR="000568CA" w:rsidRPr="005F774B" w:rsidRDefault="000568CA" w:rsidP="005F774B">
            <w:pPr>
              <w:spacing w:line="360" w:lineRule="auto"/>
              <w:jc w:val="both"/>
              <w:rPr>
                <w:rFonts w:cs="Times New Roman"/>
                <w:sz w:val="24"/>
              </w:rPr>
            </w:pPr>
            <w:r>
              <w:rPr>
                <w:rFonts w:cs="Times New Roman"/>
                <w:sz w:val="24"/>
              </w:rPr>
              <w:t>298,614</w:t>
            </w:r>
          </w:p>
        </w:tc>
        <w:tc>
          <w:tcPr>
            <w:tcW w:w="1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1FF98" w14:textId="77777777" w:rsidR="000568CA" w:rsidRPr="005F774B" w:rsidRDefault="000568CA" w:rsidP="005F774B">
            <w:pPr>
              <w:spacing w:line="360" w:lineRule="auto"/>
              <w:jc w:val="both"/>
              <w:rPr>
                <w:rFonts w:cs="Times New Roman"/>
                <w:sz w:val="24"/>
              </w:rPr>
            </w:pPr>
            <w:r>
              <w:rPr>
                <w:rFonts w:cs="Times New Roman"/>
                <w:sz w:val="24"/>
              </w:rPr>
              <w:t>166,556</w:t>
            </w:r>
          </w:p>
        </w:tc>
      </w:tr>
    </w:tbl>
    <w:p w14:paraId="5FAC45B1" w14:textId="77777777" w:rsidR="004B08E9" w:rsidRDefault="004B08E9" w:rsidP="005F774B">
      <w:pPr>
        <w:spacing w:after="120" w:line="360" w:lineRule="auto"/>
        <w:jc w:val="both"/>
        <w:rPr>
          <w:rFonts w:cs="Times New Roman"/>
          <w:sz w:val="24"/>
        </w:rPr>
      </w:pPr>
    </w:p>
    <w:p w14:paraId="35C57D82" w14:textId="16FD6B2D" w:rsidR="000568CA" w:rsidRPr="005F774B" w:rsidRDefault="000568CA" w:rsidP="005F774B">
      <w:pPr>
        <w:spacing w:after="120" w:line="360" w:lineRule="auto"/>
        <w:jc w:val="both"/>
        <w:rPr>
          <w:rFonts w:cs="Times New Roman"/>
          <w:sz w:val="24"/>
        </w:rPr>
      </w:pPr>
      <w:r>
        <w:rPr>
          <w:rFonts w:cs="Times New Roman"/>
          <w:sz w:val="24"/>
        </w:rPr>
        <w:t>Random Forest performed best and was selected for the deployed system. It outperforms Linear Regression because property price is non-linear in the features, and it generalises better than a single Decision Tree</w:t>
      </w:r>
      <w:r>
        <w:rPr>
          <w:rFonts w:cs="Times New Roman" w:hint="eastAsia"/>
          <w:sz w:val="24"/>
          <w:lang w:eastAsia="zh-CN"/>
        </w:rPr>
        <w:t xml:space="preserve"> </w:t>
      </w:r>
      <w:r>
        <w:rPr>
          <w:rFonts w:cs="Times New Roman"/>
          <w:sz w:val="24"/>
          <w:lang w:eastAsia="zh-CN"/>
        </w:rPr>
        <w:t>[3]</w:t>
      </w:r>
      <w:r>
        <w:rPr>
          <w:rFonts w:cs="Times New Roman"/>
          <w:sz w:val="24"/>
        </w:rPr>
        <w:t>. This R² of 0.671 is consistent with prior Malaysian studies: Oh, Hang and Wang [3] reported an R² of 0.7444–0.7497 for Random Forest on Kuala Lumpur terrace-house listings using a comparable set of basic property features. The closeness of these two independently-collected results — both in the 0.65–0.75 range using non-macro, listing-level features — suggests that the accuracy obtained in this project is not an artefact of a small or poorly-cleaned dataset, but reflects a genuine ceiling on what basic property attributes can explain about price in the Malaysian market.</w:t>
      </w:r>
    </w:p>
    <w:p w14:paraId="746CB752" w14:textId="76920D45" w:rsidR="000568CA" w:rsidRPr="00B5315B" w:rsidRDefault="000568CA" w:rsidP="000C0B10">
      <w:pPr>
        <w:pStyle w:val="Heading2"/>
        <w:numPr>
          <w:ilvl w:val="0"/>
          <w:numId w:val="14"/>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Feature Importance and Collinearity</w:t>
      </w:r>
    </w:p>
    <w:p w14:paraId="25567960" w14:textId="494D39E1" w:rsidR="00B95EF7" w:rsidRPr="00B95EF7" w:rsidRDefault="00B95EF7" w:rsidP="00B95EF7">
      <w:pPr>
        <w:jc w:val="center"/>
        <w:rPr>
          <w:sz w:val="24"/>
          <w:u w:val="single"/>
        </w:rPr>
      </w:pPr>
      <w:r>
        <w:rPr>
          <w:sz w:val="24"/>
          <w:u w:val="single"/>
        </w:rPr>
        <w:t>Table 3. Data Source Evaluation Matrix</w:t>
      </w:r>
    </w:p>
    <w:tbl>
      <w:tblPr>
        <w:tblpPr w:leftFromText="180" w:rightFromText="180" w:vertAnchor="text" w:horzAnchor="margin" w:tblpXSpec="right" w:tblpY="26"/>
        <w:tblW w:w="4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416"/>
        <w:gridCol w:w="1448"/>
      </w:tblGrid>
      <w:tr w:rsidR="00B95EF7" w:rsidRPr="005F774B" w14:paraId="0D4C315E" w14:textId="77777777" w:rsidTr="00B5315B">
        <w:trPr>
          <w:trHeight w:val="399"/>
        </w:trPr>
        <w:tc>
          <w:tcPr>
            <w:tcW w:w="1560" w:type="dxa"/>
            <w:shd w:val="clear" w:color="auto" w:fill="D5E8F0"/>
            <w:tcMar>
              <w:top w:w="80" w:type="dxa"/>
              <w:left w:w="120" w:type="dxa"/>
              <w:bottom w:w="80" w:type="dxa"/>
              <w:right w:w="120" w:type="dxa"/>
            </w:tcMar>
          </w:tcPr>
          <w:p w14:paraId="64DD9020" w14:textId="77777777" w:rsidR="00B95EF7" w:rsidRPr="005F774B" w:rsidRDefault="00B95EF7" w:rsidP="00B95EF7">
            <w:pPr>
              <w:spacing w:line="360" w:lineRule="auto"/>
              <w:jc w:val="both"/>
              <w:rPr>
                <w:rFonts w:cs="Times New Roman"/>
                <w:sz w:val="24"/>
              </w:rPr>
            </w:pPr>
            <w:r>
              <w:rPr>
                <w:rFonts w:cs="Times New Roman"/>
                <w:b/>
                <w:bCs/>
                <w:sz w:val="24"/>
              </w:rPr>
              <w:lastRenderedPageBreak/>
              <w:t>Source</w:t>
            </w:r>
          </w:p>
        </w:tc>
        <w:tc>
          <w:tcPr>
            <w:tcW w:w="1416" w:type="dxa"/>
            <w:shd w:val="clear" w:color="auto" w:fill="D5E8F0"/>
            <w:tcMar>
              <w:top w:w="80" w:type="dxa"/>
              <w:left w:w="120" w:type="dxa"/>
              <w:bottom w:w="80" w:type="dxa"/>
              <w:right w:w="120" w:type="dxa"/>
            </w:tcMar>
          </w:tcPr>
          <w:p w14:paraId="22EF0AAC" w14:textId="77777777" w:rsidR="00B95EF7" w:rsidRPr="005F774B" w:rsidRDefault="00B95EF7" w:rsidP="00B95EF7">
            <w:pPr>
              <w:spacing w:line="360" w:lineRule="auto"/>
              <w:jc w:val="both"/>
              <w:rPr>
                <w:rFonts w:cs="Times New Roman"/>
                <w:sz w:val="24"/>
              </w:rPr>
            </w:pPr>
            <w:r>
              <w:rPr>
                <w:rFonts w:cs="Times New Roman"/>
                <w:b/>
                <w:bCs/>
                <w:sz w:val="24"/>
              </w:rPr>
              <w:t>Rich features?</w:t>
            </w:r>
          </w:p>
        </w:tc>
        <w:tc>
          <w:tcPr>
            <w:tcW w:w="1448" w:type="dxa"/>
            <w:shd w:val="clear" w:color="auto" w:fill="D5E8F0"/>
            <w:tcMar>
              <w:top w:w="80" w:type="dxa"/>
              <w:left w:w="120" w:type="dxa"/>
              <w:bottom w:w="80" w:type="dxa"/>
              <w:right w:w="120" w:type="dxa"/>
            </w:tcMar>
          </w:tcPr>
          <w:p w14:paraId="4779234E" w14:textId="77777777" w:rsidR="00B95EF7" w:rsidRPr="005F774B" w:rsidRDefault="00B95EF7" w:rsidP="00B95EF7">
            <w:pPr>
              <w:spacing w:line="360" w:lineRule="auto"/>
              <w:jc w:val="both"/>
              <w:rPr>
                <w:rFonts w:cs="Times New Roman"/>
                <w:sz w:val="24"/>
              </w:rPr>
            </w:pPr>
            <w:r>
              <w:rPr>
                <w:rFonts w:cs="Times New Roman"/>
                <w:b/>
                <w:bCs/>
                <w:sz w:val="24"/>
              </w:rPr>
              <w:t>Accessible?</w:t>
            </w:r>
          </w:p>
        </w:tc>
      </w:tr>
      <w:tr w:rsidR="00B95EF7" w:rsidRPr="005F774B" w14:paraId="275D1C94" w14:textId="77777777" w:rsidTr="00B5315B">
        <w:trPr>
          <w:trHeight w:val="399"/>
        </w:trPr>
        <w:tc>
          <w:tcPr>
            <w:tcW w:w="1560" w:type="dxa"/>
            <w:tcMar>
              <w:top w:w="80" w:type="dxa"/>
              <w:left w:w="120" w:type="dxa"/>
              <w:bottom w:w="80" w:type="dxa"/>
              <w:right w:w="120" w:type="dxa"/>
            </w:tcMar>
          </w:tcPr>
          <w:p w14:paraId="3F0EA84F" w14:textId="77777777" w:rsidR="00B95EF7" w:rsidRPr="005F774B" w:rsidRDefault="00B95EF7" w:rsidP="00B95EF7">
            <w:pPr>
              <w:spacing w:line="360" w:lineRule="auto"/>
              <w:jc w:val="both"/>
              <w:rPr>
                <w:rFonts w:cs="Times New Roman"/>
                <w:sz w:val="24"/>
              </w:rPr>
            </w:pPr>
            <w:r>
              <w:rPr>
                <w:rFonts w:cs="Times New Roman"/>
                <w:sz w:val="24"/>
              </w:rPr>
              <w:t>PropertyGuru</w:t>
            </w:r>
          </w:p>
        </w:tc>
        <w:tc>
          <w:tcPr>
            <w:tcW w:w="1416" w:type="dxa"/>
            <w:tcMar>
              <w:top w:w="80" w:type="dxa"/>
              <w:left w:w="120" w:type="dxa"/>
              <w:bottom w:w="80" w:type="dxa"/>
              <w:right w:w="120" w:type="dxa"/>
            </w:tcMar>
          </w:tcPr>
          <w:p w14:paraId="305BAB47" w14:textId="77777777" w:rsidR="00B95EF7" w:rsidRPr="005F774B" w:rsidRDefault="00B95EF7" w:rsidP="00B95EF7">
            <w:pPr>
              <w:spacing w:line="360" w:lineRule="auto"/>
              <w:jc w:val="both"/>
              <w:rPr>
                <w:rFonts w:cs="Times New Roman"/>
                <w:sz w:val="24"/>
              </w:rPr>
            </w:pPr>
            <w:r>
              <w:rPr>
                <w:rFonts w:cs="Times New Roman"/>
                <w:sz w:val="24"/>
              </w:rPr>
              <w:t>Tenure, furnishing (no age)</w:t>
            </w:r>
          </w:p>
        </w:tc>
        <w:tc>
          <w:tcPr>
            <w:tcW w:w="1448" w:type="dxa"/>
            <w:tcMar>
              <w:top w:w="80" w:type="dxa"/>
              <w:left w:w="120" w:type="dxa"/>
              <w:bottom w:w="80" w:type="dxa"/>
              <w:right w:w="120" w:type="dxa"/>
            </w:tcMar>
          </w:tcPr>
          <w:p w14:paraId="47C68EB2" w14:textId="77777777" w:rsidR="00B95EF7" w:rsidRPr="005F774B" w:rsidRDefault="00B95EF7" w:rsidP="00B95EF7">
            <w:pPr>
              <w:spacing w:line="360" w:lineRule="auto"/>
              <w:jc w:val="both"/>
              <w:rPr>
                <w:rFonts w:cs="Times New Roman"/>
                <w:sz w:val="24"/>
              </w:rPr>
            </w:pPr>
            <w:r>
              <w:rPr>
                <w:rFonts w:cs="Times New Roman"/>
                <w:sz w:val="24"/>
              </w:rPr>
              <w:t>Detail-page scraping; slow</w:t>
            </w:r>
          </w:p>
        </w:tc>
      </w:tr>
      <w:tr w:rsidR="00B95EF7" w:rsidRPr="005F774B" w14:paraId="29115263" w14:textId="77777777" w:rsidTr="00B5315B">
        <w:trPr>
          <w:trHeight w:val="412"/>
        </w:trPr>
        <w:tc>
          <w:tcPr>
            <w:tcW w:w="1560" w:type="dxa"/>
            <w:tcMar>
              <w:top w:w="80" w:type="dxa"/>
              <w:left w:w="120" w:type="dxa"/>
              <w:bottom w:w="80" w:type="dxa"/>
              <w:right w:w="120" w:type="dxa"/>
            </w:tcMar>
          </w:tcPr>
          <w:p w14:paraId="3A1E3268" w14:textId="77777777" w:rsidR="00B95EF7" w:rsidRPr="005F774B" w:rsidRDefault="00B95EF7" w:rsidP="00B95EF7">
            <w:pPr>
              <w:spacing w:line="360" w:lineRule="auto"/>
              <w:jc w:val="both"/>
              <w:rPr>
                <w:rFonts w:cs="Times New Roman"/>
                <w:sz w:val="24"/>
              </w:rPr>
            </w:pPr>
            <w:r>
              <w:rPr>
                <w:rFonts w:cs="Times New Roman"/>
                <w:sz w:val="24"/>
              </w:rPr>
              <w:t>iProperty</w:t>
            </w:r>
          </w:p>
        </w:tc>
        <w:tc>
          <w:tcPr>
            <w:tcW w:w="1416" w:type="dxa"/>
            <w:tcMar>
              <w:top w:w="80" w:type="dxa"/>
              <w:left w:w="120" w:type="dxa"/>
              <w:bottom w:w="80" w:type="dxa"/>
              <w:right w:w="120" w:type="dxa"/>
            </w:tcMar>
          </w:tcPr>
          <w:p w14:paraId="3380950D" w14:textId="77777777" w:rsidR="00B95EF7" w:rsidRPr="005F774B" w:rsidRDefault="00B95EF7" w:rsidP="00B95EF7">
            <w:pPr>
              <w:spacing w:line="360" w:lineRule="auto"/>
              <w:jc w:val="both"/>
              <w:rPr>
                <w:rFonts w:cs="Times New Roman"/>
                <w:sz w:val="24"/>
              </w:rPr>
            </w:pPr>
            <w:r>
              <w:rPr>
                <w:rFonts w:cs="Times New Roman"/>
                <w:sz w:val="24"/>
              </w:rPr>
              <w:t>Yes (building-level)</w:t>
            </w:r>
          </w:p>
        </w:tc>
        <w:tc>
          <w:tcPr>
            <w:tcW w:w="1448" w:type="dxa"/>
            <w:tcMar>
              <w:top w:w="80" w:type="dxa"/>
              <w:left w:w="120" w:type="dxa"/>
              <w:bottom w:w="80" w:type="dxa"/>
              <w:right w:w="120" w:type="dxa"/>
            </w:tcMar>
          </w:tcPr>
          <w:p w14:paraId="66E2E252" w14:textId="77777777" w:rsidR="00B95EF7" w:rsidRPr="005F774B" w:rsidRDefault="00B95EF7" w:rsidP="00B95EF7">
            <w:pPr>
              <w:spacing w:line="360" w:lineRule="auto"/>
              <w:jc w:val="both"/>
              <w:rPr>
                <w:rFonts w:cs="Times New Roman"/>
                <w:sz w:val="24"/>
              </w:rPr>
            </w:pPr>
            <w:r>
              <w:rPr>
                <w:rFonts w:cs="Times New Roman"/>
                <w:sz w:val="24"/>
              </w:rPr>
              <w:t>Scraping; features tied to project</w:t>
            </w:r>
          </w:p>
        </w:tc>
      </w:tr>
      <w:tr w:rsidR="00B95EF7" w:rsidRPr="005F774B" w14:paraId="5FDC6F59" w14:textId="77777777" w:rsidTr="00B5315B">
        <w:trPr>
          <w:trHeight w:val="399"/>
        </w:trPr>
        <w:tc>
          <w:tcPr>
            <w:tcW w:w="1560" w:type="dxa"/>
            <w:tcMar>
              <w:top w:w="80" w:type="dxa"/>
              <w:left w:w="120" w:type="dxa"/>
              <w:bottom w:w="80" w:type="dxa"/>
              <w:right w:w="120" w:type="dxa"/>
            </w:tcMar>
          </w:tcPr>
          <w:p w14:paraId="18925757" w14:textId="77777777" w:rsidR="00B95EF7" w:rsidRPr="005F774B" w:rsidRDefault="00B95EF7" w:rsidP="00B95EF7">
            <w:pPr>
              <w:spacing w:line="360" w:lineRule="auto"/>
              <w:jc w:val="both"/>
              <w:rPr>
                <w:rFonts w:cs="Times New Roman"/>
                <w:sz w:val="24"/>
              </w:rPr>
            </w:pPr>
            <w:r>
              <w:rPr>
                <w:rFonts w:cs="Times New Roman"/>
                <w:sz w:val="24"/>
              </w:rPr>
              <w:t>List.my</w:t>
            </w:r>
          </w:p>
        </w:tc>
        <w:tc>
          <w:tcPr>
            <w:tcW w:w="1416" w:type="dxa"/>
            <w:tcMar>
              <w:top w:w="80" w:type="dxa"/>
              <w:left w:w="120" w:type="dxa"/>
              <w:bottom w:w="80" w:type="dxa"/>
              <w:right w:w="120" w:type="dxa"/>
            </w:tcMar>
          </w:tcPr>
          <w:p w14:paraId="412D60FF" w14:textId="77777777" w:rsidR="00B95EF7" w:rsidRPr="005F774B" w:rsidRDefault="00B95EF7" w:rsidP="00B95EF7">
            <w:pPr>
              <w:spacing w:line="360" w:lineRule="auto"/>
              <w:jc w:val="both"/>
              <w:rPr>
                <w:rFonts w:cs="Times New Roman"/>
                <w:sz w:val="24"/>
              </w:rPr>
            </w:pPr>
            <w:r>
              <w:rPr>
                <w:rFonts w:cs="Times New Roman"/>
                <w:sz w:val="24"/>
              </w:rPr>
              <w:t>Transaction prices</w:t>
            </w:r>
          </w:p>
        </w:tc>
        <w:tc>
          <w:tcPr>
            <w:tcW w:w="1448" w:type="dxa"/>
            <w:tcMar>
              <w:top w:w="80" w:type="dxa"/>
              <w:left w:w="120" w:type="dxa"/>
              <w:bottom w:w="80" w:type="dxa"/>
              <w:right w:w="120" w:type="dxa"/>
            </w:tcMar>
          </w:tcPr>
          <w:p w14:paraId="04EEFFEA" w14:textId="77777777" w:rsidR="00B95EF7" w:rsidRPr="005F774B" w:rsidRDefault="00B95EF7" w:rsidP="00B95EF7">
            <w:pPr>
              <w:spacing w:line="360" w:lineRule="auto"/>
              <w:jc w:val="both"/>
              <w:rPr>
                <w:rFonts w:cs="Times New Roman"/>
                <w:sz w:val="24"/>
              </w:rPr>
            </w:pPr>
            <w:r>
              <w:rPr>
                <w:rFonts w:cs="Times New Roman"/>
                <w:sz w:val="24"/>
              </w:rPr>
              <w:t>Blocked by anti-bot</w:t>
            </w:r>
          </w:p>
        </w:tc>
      </w:tr>
      <w:tr w:rsidR="00B95EF7" w:rsidRPr="005F774B" w14:paraId="166004AE" w14:textId="77777777" w:rsidTr="00B5315B">
        <w:trPr>
          <w:trHeight w:val="399"/>
        </w:trPr>
        <w:tc>
          <w:tcPr>
            <w:tcW w:w="1560" w:type="dxa"/>
            <w:tcMar>
              <w:top w:w="80" w:type="dxa"/>
              <w:left w:w="120" w:type="dxa"/>
              <w:bottom w:w="80" w:type="dxa"/>
              <w:right w:w="120" w:type="dxa"/>
            </w:tcMar>
          </w:tcPr>
          <w:p w14:paraId="26A8A424" w14:textId="77777777" w:rsidR="00B95EF7" w:rsidRPr="005F774B" w:rsidRDefault="00B95EF7" w:rsidP="00B95EF7">
            <w:pPr>
              <w:spacing w:line="360" w:lineRule="auto"/>
              <w:jc w:val="both"/>
              <w:rPr>
                <w:rFonts w:cs="Times New Roman"/>
                <w:sz w:val="24"/>
              </w:rPr>
            </w:pPr>
            <w:r>
              <w:rPr>
                <w:rFonts w:cs="Times New Roman"/>
                <w:sz w:val="24"/>
              </w:rPr>
              <w:t>EdgeProp</w:t>
            </w:r>
          </w:p>
        </w:tc>
        <w:tc>
          <w:tcPr>
            <w:tcW w:w="1416" w:type="dxa"/>
            <w:tcMar>
              <w:top w:w="80" w:type="dxa"/>
              <w:left w:w="120" w:type="dxa"/>
              <w:bottom w:w="80" w:type="dxa"/>
              <w:right w:w="120" w:type="dxa"/>
            </w:tcMar>
          </w:tcPr>
          <w:p w14:paraId="2EADC7C1" w14:textId="77777777" w:rsidR="00B95EF7" w:rsidRPr="005F774B" w:rsidRDefault="00B95EF7" w:rsidP="00B95EF7">
            <w:pPr>
              <w:spacing w:line="360" w:lineRule="auto"/>
              <w:jc w:val="both"/>
              <w:rPr>
                <w:rFonts w:cs="Times New Roman"/>
                <w:sz w:val="24"/>
              </w:rPr>
            </w:pPr>
            <w:r>
              <w:rPr>
                <w:rFonts w:cs="Times New Roman"/>
                <w:sz w:val="24"/>
              </w:rPr>
              <w:t>Tenure, furnishing</w:t>
            </w:r>
          </w:p>
        </w:tc>
        <w:tc>
          <w:tcPr>
            <w:tcW w:w="1448" w:type="dxa"/>
            <w:tcMar>
              <w:top w:w="80" w:type="dxa"/>
              <w:left w:w="120" w:type="dxa"/>
              <w:bottom w:w="80" w:type="dxa"/>
              <w:right w:w="120" w:type="dxa"/>
            </w:tcMar>
          </w:tcPr>
          <w:p w14:paraId="5BD50650" w14:textId="77777777" w:rsidR="00B95EF7" w:rsidRPr="005F774B" w:rsidRDefault="00B95EF7" w:rsidP="00B95EF7">
            <w:pPr>
              <w:spacing w:line="360" w:lineRule="auto"/>
              <w:jc w:val="both"/>
              <w:rPr>
                <w:rFonts w:cs="Times New Roman"/>
                <w:sz w:val="24"/>
              </w:rPr>
            </w:pPr>
            <w:r>
              <w:rPr>
                <w:rFonts w:cs="Times New Roman"/>
                <w:sz w:val="24"/>
              </w:rPr>
              <w:t>Blocked by anti-bot</w:t>
            </w:r>
          </w:p>
        </w:tc>
      </w:tr>
      <w:tr w:rsidR="00B95EF7" w:rsidRPr="005F774B" w14:paraId="2B3479EC" w14:textId="77777777" w:rsidTr="00B5315B">
        <w:trPr>
          <w:trHeight w:val="399"/>
        </w:trPr>
        <w:tc>
          <w:tcPr>
            <w:tcW w:w="1560" w:type="dxa"/>
            <w:tcMar>
              <w:top w:w="80" w:type="dxa"/>
              <w:left w:w="120" w:type="dxa"/>
              <w:bottom w:w="80" w:type="dxa"/>
              <w:right w:w="120" w:type="dxa"/>
            </w:tcMar>
          </w:tcPr>
          <w:p w14:paraId="7CA043F9" w14:textId="77777777" w:rsidR="00B95EF7" w:rsidRPr="005F774B" w:rsidRDefault="00B95EF7" w:rsidP="00B95EF7">
            <w:pPr>
              <w:spacing w:line="360" w:lineRule="auto"/>
              <w:jc w:val="both"/>
              <w:rPr>
                <w:rFonts w:cs="Times New Roman"/>
                <w:sz w:val="24"/>
              </w:rPr>
            </w:pPr>
            <w:r>
              <w:rPr>
                <w:rFonts w:cs="Times New Roman"/>
                <w:sz w:val="24"/>
              </w:rPr>
              <w:t>NAPIC</w:t>
            </w:r>
          </w:p>
        </w:tc>
        <w:tc>
          <w:tcPr>
            <w:tcW w:w="1416" w:type="dxa"/>
            <w:tcMar>
              <w:top w:w="80" w:type="dxa"/>
              <w:left w:w="120" w:type="dxa"/>
              <w:bottom w:w="80" w:type="dxa"/>
              <w:right w:w="120" w:type="dxa"/>
            </w:tcMar>
          </w:tcPr>
          <w:p w14:paraId="2B5CB393" w14:textId="77777777" w:rsidR="00B95EF7" w:rsidRPr="005F774B" w:rsidRDefault="00B95EF7" w:rsidP="00B95EF7">
            <w:pPr>
              <w:spacing w:line="360" w:lineRule="auto"/>
              <w:jc w:val="both"/>
              <w:rPr>
                <w:rFonts w:cs="Times New Roman"/>
                <w:sz w:val="24"/>
              </w:rPr>
            </w:pPr>
            <w:r>
              <w:rPr>
                <w:rFonts w:cs="Times New Roman"/>
                <w:sz w:val="24"/>
              </w:rPr>
              <w:t>Official statistics</w:t>
            </w:r>
          </w:p>
        </w:tc>
        <w:tc>
          <w:tcPr>
            <w:tcW w:w="1448" w:type="dxa"/>
            <w:tcMar>
              <w:top w:w="80" w:type="dxa"/>
              <w:left w:w="120" w:type="dxa"/>
              <w:bottom w:w="80" w:type="dxa"/>
              <w:right w:w="120" w:type="dxa"/>
            </w:tcMar>
          </w:tcPr>
          <w:p w14:paraId="1E61DBA8" w14:textId="77777777" w:rsidR="00B95EF7" w:rsidRPr="005F774B" w:rsidRDefault="00B95EF7" w:rsidP="00B95EF7">
            <w:pPr>
              <w:spacing w:line="360" w:lineRule="auto"/>
              <w:jc w:val="both"/>
              <w:rPr>
                <w:rFonts w:cs="Times New Roman"/>
                <w:sz w:val="24"/>
              </w:rPr>
            </w:pPr>
            <w:r>
              <w:rPr>
                <w:rFonts w:cs="Times New Roman"/>
                <w:sz w:val="24"/>
              </w:rPr>
              <w:t>Aggregate tables, not per-listing</w:t>
            </w:r>
          </w:p>
        </w:tc>
      </w:tr>
    </w:tbl>
    <w:p w14:paraId="09C1AF7E" w14:textId="17362DED" w:rsidR="000568CA" w:rsidRPr="005F774B" w:rsidRDefault="000568CA" w:rsidP="005F774B">
      <w:pPr>
        <w:spacing w:after="120" w:line="360" w:lineRule="auto"/>
        <w:jc w:val="both"/>
        <w:rPr>
          <w:rFonts w:cs="Times New Roman"/>
          <w:sz w:val="24"/>
        </w:rPr>
      </w:pPr>
      <w:r>
        <w:rPr>
          <w:rFonts w:cs="Times New Roman"/>
          <w:sz w:val="24"/>
        </w:rPr>
        <w:t>An initial inspection of feature importance showed bathrooms dominating at around 0.67, which contradicted the expectation that location is the primary price driver. Investigating the correlations — visualised in the Data Dashboard's feature correlation heatmap — revealed the cause: bathrooms correlate 0.80 with bedrooms and 0.62 with built-up area.</w:t>
      </w:r>
    </w:p>
    <w:p w14:paraId="66761B0F" w14:textId="77777777" w:rsidR="000568CA" w:rsidRPr="005F774B" w:rsidRDefault="000568CA" w:rsidP="005F774B">
      <w:pPr>
        <w:spacing w:after="120" w:line="360" w:lineRule="auto"/>
        <w:jc w:val="both"/>
        <w:rPr>
          <w:rFonts w:cs="Times New Roman"/>
          <w:sz w:val="24"/>
        </w:rPr>
      </w:pPr>
      <w:r>
        <w:rPr>
          <w:rFonts w:cs="Times New Roman"/>
          <w:sz w:val="24"/>
        </w:rPr>
        <w:t>This indicates that bathrooms is not an independent price driver but a proxy for property scale. The model attributed the effect of “larger, higher-end house” to the bathroom count because it is the most directly correlated available feature. This is a case of multicollinearity producing misleading feature importance, and it is reported here as an analytical finding rather than taken at face value.</w:t>
      </w:r>
    </w:p>
    <w:p w14:paraId="5BF907AF" w14:textId="38EAC171" w:rsidR="000568CA" w:rsidRPr="00B5315B" w:rsidRDefault="000568CA" w:rsidP="006C1A3D">
      <w:pPr>
        <w:pStyle w:val="Heading2"/>
        <w:numPr>
          <w:ilvl w:val="0"/>
          <w:numId w:val="14"/>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Sources of Error</w:t>
      </w:r>
    </w:p>
    <w:p w14:paraId="7BA89A5D" w14:textId="77777777" w:rsidR="000568CA" w:rsidRPr="005F774B" w:rsidRDefault="000568CA" w:rsidP="005F774B">
      <w:pPr>
        <w:spacing w:after="120" w:line="360" w:lineRule="auto"/>
        <w:jc w:val="both"/>
        <w:rPr>
          <w:rFonts w:cs="Times New Roman"/>
          <w:sz w:val="24"/>
        </w:rPr>
      </w:pPr>
      <w:r>
        <w:rPr>
          <w:rFonts w:cs="Times New Roman"/>
          <w:sz w:val="24"/>
        </w:rPr>
        <w:t>The model's average error is approximately 16%. The area-vs-price scatter plot shows a wide vertical spread: houses of the same size differ substantially in price. This is because price-relevant factors such as property age, renovation, facing, and parking are not present in the data. The error is therefore largely a ceiling imposed by the available features, not a defect of the model.</w:t>
      </w:r>
    </w:p>
    <w:p>
      <w:pPr>
        <w:pStyle w:val="Heading2"/>
        <w:numPr>
          <w:ilvl w:val="0"/>
          <w:numId w:val="14"/>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Association Rule Mining Findings</w:t>
      </w:r>
    </w:p>
    <w:p>
      <w:pPr>
        <w:spacing w:after="120" w:line="360" w:lineRule="auto"/>
        <w:jc w:val="both"/>
        <w:rPr>
          <w:rFonts w:cs="Times New Roman"/>
          <w:sz w:val="24"/>
        </w:rPr>
      </w:pPr>
      <w:r>
        <w:rPr>
          <w:rFonts w:cs="Times New Roman"/>
          <w:sz w:val="24"/>
        </w:rPr>
        <w:t xml:space="preserve">The Apriori procedure described in Section III mines 250 rules from the 2,511-row cleaned dataset at minimum support 0.03 and minimum confidence 0.5, of which 65 predict a price band directly. The rules mined are consistent with, rather than contradicting, the regression results: the strongest price-predicting rule, {Beds=2} → {Price=Low, Size=Small} (confidence 70.2%, lift 3.25×), confirms that smaller unit size is strongly linked to lower price, the same relationship the regression models learn continuously. Two further rules add information the regression coefficients do not expose on their own: {Area=Kluang} → {Price=Low, Type=Terrace House} (confidence 78.2%, lift 2.98×) identifies a specific district where low-priced terrace houses concentrate, and {Type=Link Bungalow / Semi-Detached} → {Price=High} (confidence 92.0%, lift 2.76×) shows this property type is an almost deterministic high-price signal in this dataset. Because these rules are simple, human-readable If-Then statements rather than model coefficients, they give the ordinary-buyer user a second, more transparent way to sanity-check the system's price verdict, which supports this project's broader goal of honest, interpretable decision support.</w:t>
      </w:r>
    </w:p>
    <w:p>
      <w:pPr>
        <w:pStyle w:val="Heading2"/>
        <w:numPr>
          <w:ilvl w:val="0"/>
          <w:numId w:val="14"/>
        </w:num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Affordability Analysis</w:t>
      </w:r>
    </w:p>
    <w:p>
      <w:pPr>
        <w:spacing w:after="120" w:line="360" w:lineRule="auto"/>
        <w:jc w:val="both"/>
        <w:rPr>
          <w:rFonts w:cs="Times New Roman"/>
          <w:sz w:val="24"/>
        </w:rPr>
      </w:pPr>
      <w:r>
        <w:rPr>
          <w:rFonts w:cs="Times New Roman"/>
          <w:sz w:val="24"/>
        </w:rPr>
        <w:t xml:space="preserve">In response to feedback that this project should look beyond listing prices to the buyer's side of the market, we obtained published Johor district-level household income and poverty statistics (2019/2022/2024) and computed a price-to-income ratio — median house price divided by median annual household income — for each district, a standard housing-affordability measure.</w:t>
      </w:r>
    </w:p>
    <w:p>
      <w:pPr>
        <w:spacing w:after="120" w:line="360" w:lineRule="auto"/>
        <w:jc w:val="both"/>
        <w:rPr>
          <w:rFonts w:cs="Times New Roman"/>
          <w:sz w:val="24"/>
        </w:rPr>
      </w:pPr>
      <w:r>
        <w:rPr>
          <w:rFonts w:cs="Times New Roman"/>
          <w:sz w:val="24"/>
        </w:rPr>
        <w:t xml:space="preserve">The property dataset's 18 areas are township-level (e.g. Skudai, Iskandar Puteri, Pasir Gudang), while income and poverty are published at the 10 official Johor districts (daerah) level, so each township was mapped to its parent district (e.g. Skudai, Iskandar Puteri and Pasir Gudang all fall under Johor Bahru district). This mapping covers 1,874 of 2,511 listings (75%); the remaining 25%, labelled “Other”, cannot be assigned to an official district and are excluded here.</w:t>
      </w:r>
    </w:p>
    <w:p>
      <w:pPr>
        <w:spacing w:after="120" w:line="360" w:lineRule="auto"/>
        <w:jc w:val="both"/>
        <w:rPr>
          <w:rFonts w:cs="Times New Roman"/>
          <w:sz w:val="24"/>
        </w:rPr>
      </w:pPr>
      <w:r>
        <w:rPr>
          <w:rFonts w:cs="Times New Roman"/>
          <w:sz w:val="24"/>
        </w:rPr>
        <w:t xml:space="preserve">Table 4. Price-to-Income Ratio by District (2024)</w:t>
      </w:r>
    </w:p>
    <w:tbl>
      <w:tblPr>
        <w:tblW w:w="44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00"/>
        <w:gridCol w:w="1100"/>
        <w:gridCol w:w="1050"/>
        <w:gridCol w:w="800"/>
      </w:tblGrid>
      <w:tr>
        <w:tc>
          <w:tcPr>
            <w:tcW w:w="1500" w:type="dxa"/>
          </w:tcPr>
          <w:p>
            <w:pPr>
              <w:spacing w:after="0" w:line="240" w:lineRule="auto"/>
              <w:rPr>
                <w:rFonts w:cs="Times New Roman"/>
                <w:sz w:val="18"/>
              </w:rPr>
            </w:pPr>
            <w:r>
              <w:rPr>
                <w:b/>
                <w:bCs/>
                <w:rFonts w:cs="Times New Roman"/>
                <w:sz w:val="18"/>
              </w:rPr>
              <w:t xml:space="preserve">District</w:t>
            </w:r>
          </w:p>
        </w:tc>
        <w:tc>
          <w:tcPr>
            <w:tcW w:w="1100" w:type="dxa"/>
          </w:tcPr>
          <w:p>
            <w:pPr>
              <w:spacing w:after="0" w:line="240" w:lineRule="auto"/>
              <w:rPr>
                <w:rFonts w:cs="Times New Roman"/>
                <w:sz w:val="18"/>
              </w:rPr>
            </w:pPr>
            <w:r>
              <w:rPr>
                <w:b/>
                <w:bCs/>
                <w:rFonts w:cs="Times New Roman"/>
                <w:sz w:val="18"/>
              </w:rPr>
              <w:t xml:space="preserve">Median price (RM)</w:t>
            </w:r>
          </w:p>
        </w:tc>
        <w:tc>
          <w:tcPr>
            <w:tcW w:w="1050" w:type="dxa"/>
          </w:tcPr>
          <w:p>
            <w:pPr>
              <w:spacing w:after="0" w:line="240" w:lineRule="auto"/>
              <w:rPr>
                <w:rFonts w:cs="Times New Roman"/>
                <w:sz w:val="18"/>
              </w:rPr>
            </w:pPr>
            <w:r>
              <w:rPr>
                <w:b/>
                <w:bCs/>
                <w:rFonts w:cs="Times New Roman"/>
                <w:sz w:val="18"/>
              </w:rPr>
              <w:t xml:space="preserve">Annual income (RM)</w:t>
            </w:r>
          </w:p>
        </w:tc>
        <w:tc>
          <w:tcPr>
            <w:tcW w:w="800" w:type="dxa"/>
          </w:tcPr>
          <w:p>
            <w:pPr>
              <w:spacing w:after="0" w:line="240" w:lineRule="auto"/>
              <w:rPr>
                <w:rFonts w:cs="Times New Roman"/>
                <w:sz w:val="18"/>
              </w:rPr>
            </w:pPr>
            <w:r>
              <w:rPr>
                <w:b/>
                <w:bCs/>
                <w:rFonts w:cs="Times New Roman"/>
                <w:sz w:val="18"/>
              </w:rPr>
              <w:t xml:space="preserve">Price-to-income</w:t>
            </w:r>
          </w:p>
        </w:tc>
      </w:tr>
      <w:tr>
        <w:tc>
          <w:tcPr>
            <w:tcW w:w="1500" w:type="dxa"/>
          </w:tcPr>
          <w:p>
            <w:pPr>
              <w:spacing w:after="0" w:line="240" w:lineRule="auto"/>
              <w:rPr>
                <w:rFonts w:cs="Times New Roman"/>
                <w:sz w:val="18"/>
              </w:rPr>
            </w:pPr>
            <w:r>
              <w:rPr>
                <w:rFonts w:cs="Times New Roman"/>
                <w:sz w:val="18"/>
              </w:rPr>
              <w:t xml:space="preserve">Johor Bahru</w:t>
            </w:r>
          </w:p>
        </w:tc>
        <w:tc>
          <w:tcPr>
            <w:tcW w:w="1100" w:type="dxa"/>
          </w:tcPr>
          <w:p>
            <w:pPr>
              <w:spacing w:after="0" w:line="240" w:lineRule="auto"/>
              <w:rPr>
                <w:rFonts w:cs="Times New Roman"/>
                <w:sz w:val="18"/>
              </w:rPr>
            </w:pPr>
            <w:r>
              <w:rPr>
                <w:rFonts w:cs="Times New Roman"/>
                <w:sz w:val="18"/>
              </w:rPr>
              <w:t xml:space="preserve">628,000</w:t>
            </w:r>
          </w:p>
        </w:tc>
        <w:tc>
          <w:tcPr>
            <w:tcW w:w="1050" w:type="dxa"/>
          </w:tcPr>
          <w:p>
            <w:pPr>
              <w:spacing w:after="0" w:line="240" w:lineRule="auto"/>
              <w:rPr>
                <w:rFonts w:cs="Times New Roman"/>
                <w:sz w:val="18"/>
              </w:rPr>
            </w:pPr>
            <w:r>
              <w:rPr>
                <w:rFonts w:cs="Times New Roman"/>
                <w:sz w:val="18"/>
              </w:rPr>
              <w:t xml:space="preserve">107,724</w:t>
            </w:r>
          </w:p>
        </w:tc>
        <w:tc>
          <w:tcPr>
            <w:tcW w:w="800" w:type="dxa"/>
          </w:tcPr>
          <w:p>
            <w:pPr>
              <w:spacing w:after="0" w:line="240" w:lineRule="auto"/>
              <w:rPr>
                <w:rFonts w:cs="Times New Roman"/>
                <w:sz w:val="18"/>
              </w:rPr>
            </w:pPr>
            <w:r>
              <w:rPr>
                <w:rFonts w:cs="Times New Roman"/>
                <w:sz w:val="18"/>
              </w:rPr>
              <w:t xml:space="preserve">5.8×</w:t>
            </w:r>
          </w:p>
        </w:tc>
      </w:tr>
      <w:tr>
        <w:tc>
          <w:tcPr>
            <w:tcW w:w="1500" w:type="dxa"/>
          </w:tcPr>
          <w:p>
            <w:pPr>
              <w:spacing w:after="0" w:line="240" w:lineRule="auto"/>
              <w:rPr>
                <w:rFonts w:cs="Times New Roman"/>
                <w:sz w:val="18"/>
              </w:rPr>
            </w:pPr>
            <w:r>
              <w:rPr>
                <w:rFonts w:cs="Times New Roman"/>
                <w:sz w:val="18"/>
              </w:rPr>
              <w:t xml:space="preserve">Pontian</w:t>
            </w:r>
          </w:p>
        </w:tc>
        <w:tc>
          <w:tcPr>
            <w:tcW w:w="1100" w:type="dxa"/>
          </w:tcPr>
          <w:p>
            <w:pPr>
              <w:spacing w:after="0" w:line="240" w:lineRule="auto"/>
              <w:rPr>
                <w:rFonts w:cs="Times New Roman"/>
                <w:sz w:val="18"/>
              </w:rPr>
            </w:pPr>
            <w:r>
              <w:rPr>
                <w:rFonts w:cs="Times New Roman"/>
                <w:sz w:val="18"/>
              </w:rPr>
              <w:t xml:space="preserve">393,000</w:t>
            </w:r>
          </w:p>
        </w:tc>
        <w:tc>
          <w:tcPr>
            <w:tcW w:w="1050" w:type="dxa"/>
          </w:tcPr>
          <w:p>
            <w:pPr>
              <w:spacing w:after="0" w:line="240" w:lineRule="auto"/>
              <w:rPr>
                <w:rFonts w:cs="Times New Roman"/>
                <w:sz w:val="18"/>
              </w:rPr>
            </w:pPr>
            <w:r>
              <w:rPr>
                <w:rFonts w:cs="Times New Roman"/>
                <w:sz w:val="18"/>
              </w:rPr>
              <w:t xml:space="preserve">68,220</w:t>
            </w:r>
          </w:p>
        </w:tc>
        <w:tc>
          <w:tcPr>
            <w:tcW w:w="800" w:type="dxa"/>
          </w:tcPr>
          <w:p>
            <w:pPr>
              <w:spacing w:after="0" w:line="240" w:lineRule="auto"/>
              <w:rPr>
                <w:rFonts w:cs="Times New Roman"/>
                <w:sz w:val="18"/>
              </w:rPr>
            </w:pPr>
            <w:r>
              <w:rPr>
                <w:rFonts w:cs="Times New Roman"/>
                <w:sz w:val="18"/>
              </w:rPr>
              <w:t xml:space="preserve">5.8×</w:t>
            </w:r>
          </w:p>
        </w:tc>
      </w:tr>
      <w:tr>
        <w:tc>
          <w:tcPr>
            <w:tcW w:w="1500" w:type="dxa"/>
          </w:tcPr>
          <w:p>
            <w:pPr>
              <w:spacing w:after="0" w:line="240" w:lineRule="auto"/>
              <w:rPr>
                <w:rFonts w:cs="Times New Roman"/>
                <w:sz w:val="18"/>
              </w:rPr>
            </w:pPr>
            <w:r>
              <w:rPr>
                <w:rFonts w:cs="Times New Roman"/>
                <w:sz w:val="18"/>
              </w:rPr>
              <w:t xml:space="preserve">Kluang</w:t>
            </w:r>
          </w:p>
        </w:tc>
        <w:tc>
          <w:tcPr>
            <w:tcW w:w="1100" w:type="dxa"/>
          </w:tcPr>
          <w:p>
            <w:pPr>
              <w:spacing w:after="0" w:line="240" w:lineRule="auto"/>
              <w:rPr>
                <w:rFonts w:cs="Times New Roman"/>
                <w:sz w:val="18"/>
              </w:rPr>
            </w:pPr>
            <w:r>
              <w:rPr>
                <w:rFonts w:cs="Times New Roman"/>
                <w:sz w:val="18"/>
              </w:rPr>
              <w:t xml:space="preserve">374,500</w:t>
            </w:r>
          </w:p>
        </w:tc>
        <w:tc>
          <w:tcPr>
            <w:tcW w:w="1050" w:type="dxa"/>
          </w:tcPr>
          <w:p>
            <w:pPr>
              <w:spacing w:after="0" w:line="240" w:lineRule="auto"/>
              <w:rPr>
                <w:rFonts w:cs="Times New Roman"/>
                <w:sz w:val="18"/>
              </w:rPr>
            </w:pPr>
            <w:r>
              <w:rPr>
                <w:rFonts w:cs="Times New Roman"/>
                <w:sz w:val="18"/>
              </w:rPr>
              <w:t xml:space="preserve">73,896</w:t>
            </w:r>
          </w:p>
        </w:tc>
        <w:tc>
          <w:tcPr>
            <w:tcW w:w="800" w:type="dxa"/>
          </w:tcPr>
          <w:p>
            <w:pPr>
              <w:spacing w:after="0" w:line="240" w:lineRule="auto"/>
              <w:rPr>
                <w:rFonts w:cs="Times New Roman"/>
                <w:sz w:val="18"/>
              </w:rPr>
            </w:pPr>
            <w:r>
              <w:rPr>
                <w:rFonts w:cs="Times New Roman"/>
                <w:sz w:val="18"/>
              </w:rPr>
              <w:t xml:space="preserve">5.1×</w:t>
            </w:r>
          </w:p>
        </w:tc>
      </w:tr>
      <w:tr>
        <w:tc>
          <w:tcPr>
            <w:tcW w:w="1500" w:type="dxa"/>
          </w:tcPr>
          <w:p>
            <w:pPr>
              <w:spacing w:after="0" w:line="240" w:lineRule="auto"/>
              <w:rPr>
                <w:rFonts w:cs="Times New Roman"/>
                <w:sz w:val="18"/>
              </w:rPr>
            </w:pPr>
            <w:r>
              <w:rPr>
                <w:rFonts w:cs="Times New Roman"/>
                <w:sz w:val="18"/>
              </w:rPr>
              <w:t xml:space="preserve">Muar</w:t>
            </w:r>
          </w:p>
        </w:tc>
        <w:tc>
          <w:tcPr>
            <w:tcW w:w="1100" w:type="dxa"/>
          </w:tcPr>
          <w:p>
            <w:pPr>
              <w:spacing w:after="0" w:line="240" w:lineRule="auto"/>
              <w:rPr>
                <w:rFonts w:cs="Times New Roman"/>
                <w:sz w:val="18"/>
              </w:rPr>
            </w:pPr>
            <w:r>
              <w:rPr>
                <w:rFonts w:cs="Times New Roman"/>
                <w:sz w:val="18"/>
              </w:rPr>
              <w:t xml:space="preserve">395,000</w:t>
            </w:r>
          </w:p>
        </w:tc>
        <w:tc>
          <w:tcPr>
            <w:tcW w:w="1050" w:type="dxa"/>
          </w:tcPr>
          <w:p>
            <w:pPr>
              <w:spacing w:after="0" w:line="240" w:lineRule="auto"/>
              <w:rPr>
                <w:rFonts w:cs="Times New Roman"/>
                <w:sz w:val="18"/>
              </w:rPr>
            </w:pPr>
            <w:r>
              <w:rPr>
                <w:rFonts w:cs="Times New Roman"/>
                <w:sz w:val="18"/>
              </w:rPr>
              <w:t xml:space="preserve">88,008</w:t>
            </w:r>
          </w:p>
        </w:tc>
        <w:tc>
          <w:tcPr>
            <w:tcW w:w="800" w:type="dxa"/>
          </w:tcPr>
          <w:p>
            <w:pPr>
              <w:spacing w:after="0" w:line="240" w:lineRule="auto"/>
              <w:rPr>
                <w:rFonts w:cs="Times New Roman"/>
                <w:sz w:val="18"/>
              </w:rPr>
            </w:pPr>
            <w:r>
              <w:rPr>
                <w:rFonts w:cs="Times New Roman"/>
                <w:sz w:val="18"/>
              </w:rPr>
              <w:t xml:space="preserve">4.5×</w:t>
            </w:r>
          </w:p>
        </w:tc>
      </w:tr>
      <w:tr>
        <w:tc>
          <w:tcPr>
            <w:tcW w:w="1500" w:type="dxa"/>
          </w:tcPr>
          <w:p>
            <w:pPr>
              <w:spacing w:after="0" w:line="240" w:lineRule="auto"/>
              <w:rPr>
                <w:rFonts w:cs="Times New Roman"/>
                <w:sz w:val="18"/>
              </w:rPr>
            </w:pPr>
            <w:r>
              <w:rPr>
                <w:rFonts w:cs="Times New Roman"/>
                <w:sz w:val="18"/>
              </w:rPr>
              <w:t xml:space="preserve">Kulai</w:t>
            </w:r>
          </w:p>
        </w:tc>
        <w:tc>
          <w:tcPr>
            <w:tcW w:w="1100" w:type="dxa"/>
          </w:tcPr>
          <w:p>
            <w:pPr>
              <w:spacing w:after="0" w:line="240" w:lineRule="auto"/>
              <w:rPr>
                <w:rFonts w:cs="Times New Roman"/>
                <w:sz w:val="18"/>
              </w:rPr>
            </w:pPr>
            <w:r>
              <w:rPr>
                <w:rFonts w:cs="Times New Roman"/>
                <w:sz w:val="18"/>
              </w:rPr>
              <w:t xml:space="preserve">446,500</w:t>
            </w:r>
          </w:p>
        </w:tc>
        <w:tc>
          <w:tcPr>
            <w:tcW w:w="1050" w:type="dxa"/>
          </w:tcPr>
          <w:p>
            <w:pPr>
              <w:spacing w:after="0" w:line="240" w:lineRule="auto"/>
              <w:rPr>
                <w:rFonts w:cs="Times New Roman"/>
                <w:sz w:val="18"/>
              </w:rPr>
            </w:pPr>
            <w:r>
              <w:rPr>
                <w:rFonts w:cs="Times New Roman"/>
                <w:sz w:val="18"/>
              </w:rPr>
              <w:t xml:space="preserve">100,872</w:t>
            </w:r>
          </w:p>
        </w:tc>
        <w:tc>
          <w:tcPr>
            <w:tcW w:w="800" w:type="dxa"/>
          </w:tcPr>
          <w:p>
            <w:pPr>
              <w:spacing w:after="0" w:line="240" w:lineRule="auto"/>
              <w:rPr>
                <w:rFonts w:cs="Times New Roman"/>
                <w:sz w:val="18"/>
              </w:rPr>
            </w:pPr>
            <w:r>
              <w:rPr>
                <w:rFonts w:cs="Times New Roman"/>
                <w:sz w:val="18"/>
              </w:rPr>
              <w:t xml:space="preserve">4.4×</w:t>
            </w:r>
          </w:p>
        </w:tc>
      </w:tr>
      <w:tr>
        <w:tc>
          <w:tcPr>
            <w:tcW w:w="1500" w:type="dxa"/>
          </w:tcPr>
          <w:p>
            <w:pPr>
              <w:spacing w:after="0" w:line="240" w:lineRule="auto"/>
              <w:rPr>
                <w:rFonts w:cs="Times New Roman"/>
                <w:sz w:val="18"/>
              </w:rPr>
            </w:pPr>
            <w:r>
              <w:rPr>
                <w:rFonts w:cs="Times New Roman"/>
                <w:sz w:val="18"/>
              </w:rPr>
              <w:t xml:space="preserve">Batu Pahat</w:t>
            </w:r>
          </w:p>
        </w:tc>
        <w:tc>
          <w:tcPr>
            <w:tcW w:w="1100" w:type="dxa"/>
          </w:tcPr>
          <w:p>
            <w:pPr>
              <w:spacing w:after="0" w:line="240" w:lineRule="auto"/>
              <w:rPr>
                <w:rFonts w:cs="Times New Roman"/>
                <w:sz w:val="18"/>
              </w:rPr>
            </w:pPr>
            <w:r>
              <w:rPr>
                <w:rFonts w:cs="Times New Roman"/>
                <w:sz w:val="18"/>
              </w:rPr>
              <w:t xml:space="preserve">380,000</w:t>
            </w:r>
          </w:p>
        </w:tc>
        <w:tc>
          <w:tcPr>
            <w:tcW w:w="1050" w:type="dxa"/>
          </w:tcPr>
          <w:p>
            <w:pPr>
              <w:spacing w:after="0" w:line="240" w:lineRule="auto"/>
              <w:rPr>
                <w:rFonts w:cs="Times New Roman"/>
                <w:sz w:val="18"/>
              </w:rPr>
            </w:pPr>
            <w:r>
              <w:rPr>
                <w:rFonts w:cs="Times New Roman"/>
                <w:sz w:val="18"/>
              </w:rPr>
              <w:t xml:space="preserve">90,660</w:t>
            </w:r>
          </w:p>
        </w:tc>
        <w:tc>
          <w:tcPr>
            <w:tcW w:w="800" w:type="dxa"/>
          </w:tcPr>
          <w:p>
            <w:pPr>
              <w:spacing w:after="0" w:line="240" w:lineRule="auto"/>
              <w:rPr>
                <w:rFonts w:cs="Times New Roman"/>
                <w:sz w:val="18"/>
              </w:rPr>
            </w:pPr>
            <w:r>
              <w:rPr>
                <w:rFonts w:cs="Times New Roman"/>
                <w:sz w:val="18"/>
              </w:rPr>
              <w:t xml:space="preserve">4.2×</w:t>
            </w:r>
          </w:p>
        </w:tc>
      </w:tr>
      <w:tr>
        <w:tc>
          <w:tcPr>
            <w:tcW w:w="1500" w:type="dxa"/>
          </w:tcPr>
          <w:p>
            <w:pPr>
              <w:spacing w:after="0" w:line="240" w:lineRule="auto"/>
              <w:rPr>
                <w:rFonts w:cs="Times New Roman"/>
                <w:sz w:val="18"/>
              </w:rPr>
            </w:pPr>
            <w:r>
              <w:rPr>
                <w:rFonts w:cs="Times New Roman"/>
                <w:sz w:val="18"/>
              </w:rPr>
              <w:t xml:space="preserve">Segamat</w:t>
            </w:r>
          </w:p>
        </w:tc>
        <w:tc>
          <w:tcPr>
            <w:tcW w:w="1100" w:type="dxa"/>
          </w:tcPr>
          <w:p>
            <w:pPr>
              <w:spacing w:after="0" w:line="240" w:lineRule="auto"/>
              <w:rPr>
                <w:rFonts w:cs="Times New Roman"/>
                <w:sz w:val="18"/>
              </w:rPr>
            </w:pPr>
            <w:r>
              <w:rPr>
                <w:rFonts w:cs="Times New Roman"/>
                <w:sz w:val="18"/>
              </w:rPr>
              <w:t xml:space="preserve">320,000</w:t>
            </w:r>
          </w:p>
        </w:tc>
        <w:tc>
          <w:tcPr>
            <w:tcW w:w="1050" w:type="dxa"/>
          </w:tcPr>
          <w:p>
            <w:pPr>
              <w:spacing w:after="0" w:line="240" w:lineRule="auto"/>
              <w:rPr>
                <w:rFonts w:cs="Times New Roman"/>
                <w:sz w:val="18"/>
              </w:rPr>
            </w:pPr>
            <w:r>
              <w:rPr>
                <w:rFonts w:cs="Times New Roman"/>
                <w:sz w:val="18"/>
              </w:rPr>
              <w:t xml:space="preserve">77,412</w:t>
            </w:r>
          </w:p>
        </w:tc>
        <w:tc>
          <w:tcPr>
            <w:tcW w:w="800" w:type="dxa"/>
          </w:tcPr>
          <w:p>
            <w:pPr>
              <w:spacing w:after="0" w:line="240" w:lineRule="auto"/>
              <w:rPr>
                <w:rFonts w:cs="Times New Roman"/>
                <w:sz w:val="18"/>
              </w:rPr>
            </w:pPr>
            <w:r>
              <w:rPr>
                <w:rFonts w:cs="Times New Roman"/>
                <w:sz w:val="18"/>
              </w:rPr>
              <w:t xml:space="preserve">4.1×</w:t>
            </w:r>
          </w:p>
        </w:tc>
      </w:tr>
    </w:tbl>
    <w:p>
      <w:pPr>
        <w:spacing w:after="120" w:line="360" w:lineRule="auto"/>
        <w:jc w:val="both"/>
        <w:rPr>
          <w:rFonts w:cs="Times New Roman"/>
          <w:sz w:val="24"/>
        </w:rPr>
      </w:pPr>
      <w:r>
        <w:rPr>
          <w:rFonts w:cs="Times New Roman"/>
          <w:sz w:val="24"/>
        </w:rPr>
        <w:t xml:space="preserve">Johor Bahru and Pontian are tied as the least affordable at 5.8× annual income, but for different reasons: Johor Bahru is unaffordable because prices are high (poverty rate a low 9.9%), while Pontian is unaffordable because incomes are low (poverty rate 25.7% against a comparatively modest median price of RM 393,000). Segamat is the most affordable district at 4.1×. This distinction — expensive vs. poor, rather than a single “affordability” score — is the kind of buyer-side context that listing-price data alone cannot surface, and directly supports the case made in Section VI that listing prices reflect seller strategy, not the full supply-and-demand picture. Pontian, Kluang, Muar and Segamat have small sample sizes in this dataset (9–31 listings), so their price-to-income figures should be read as indicative rather than precise.</w:t>
      </w:r>
    </w:p>
    <w:p w14:paraId="0E36E12B" w14:textId="083C98E9" w:rsidR="000568CA" w:rsidRPr="006C1A3D" w:rsidRDefault="001575BF"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VI. </w:t>
      </w:r>
      <w:r>
        <w:rPr>
          <w:rFonts w:ascii="Times New Roman" w:hAnsi="Times New Roman" w:cs="Times New Roman"/>
          <w:b/>
          <w:bCs/>
          <w:sz w:val="24"/>
          <w:szCs w:val="24"/>
        </w:rPr>
        <w:t>Limitations and Data Source Evaluation</w:t>
      </w:r>
    </w:p>
    <w:p w14:paraId="6A68DA01" w14:textId="6496C8EA" w:rsidR="000568CA" w:rsidRPr="005F774B" w:rsidRDefault="000568CA" w:rsidP="005F774B">
      <w:pPr>
        <w:spacing w:after="120" w:line="360" w:lineRule="auto"/>
        <w:jc w:val="both"/>
        <w:rPr>
          <w:rFonts w:cs="Times New Roman"/>
          <w:sz w:val="24"/>
        </w:rPr>
      </w:pPr>
      <w:r>
        <w:rPr>
          <w:rFonts w:cs="Times New Roman"/>
          <w:sz w:val="24"/>
        </w:rPr>
        <w:t>Five candidate data sources were systematically evaluated along two axes: feature completeness and accessibility.</w:t>
      </w:r>
    </w:p>
    <w:p w14:paraId="7946D563" w14:textId="77777777" w:rsidR="000568CA" w:rsidRPr="005F774B" w:rsidRDefault="000568CA" w:rsidP="005F774B">
      <w:pPr>
        <w:spacing w:after="120" w:line="360" w:lineRule="auto"/>
        <w:jc w:val="both"/>
        <w:rPr>
          <w:rFonts w:cs="Times New Roman"/>
          <w:sz w:val="24"/>
        </w:rPr>
      </w:pPr>
      <w:r>
        <w:rPr>
          <w:rFonts w:cs="Times New Roman"/>
          <w:sz w:val="24"/>
        </w:rPr>
        <w:t>No source offered a downloadable Johor dataset containing property age. Several were protected by anti-bot systems or required scraping thousands of detail pages. We therefore proceeded with the cleaned 2,511-row dataset and document feature enrichment as future work.</w:t>
      </w:r>
    </w:p>
    <w:p w14:paraId="2D753944" w14:textId="77777777" w:rsidR="000568CA" w:rsidRPr="005F774B" w:rsidRDefault="000568CA" w:rsidP="005F774B">
      <w:pPr>
        <w:spacing w:after="120" w:line="360" w:lineRule="auto"/>
        <w:jc w:val="both"/>
        <w:rPr>
          <w:rFonts w:cs="Times New Roman"/>
          <w:sz w:val="24"/>
        </w:rPr>
      </w:pPr>
      <w:r>
        <w:rPr>
          <w:rFonts w:cs="Times New Roman"/>
          <w:sz w:val="24"/>
        </w:rPr>
        <w:t>A further limitation is selection bias: listing platforms over-represent urban, newer, and higher-priced properties, and listed prices exceed transacted prices. The model may therefore overestimate prices for rural or older properties.</w:t>
      </w:r>
    </w:p>
    <w:p>
      <w:pPr>
        <w:spacing w:after="120" w:line="360" w:lineRule="auto"/>
        <w:jc w:val="both"/>
        <w:rPr>
          <w:rFonts w:cs="Times New Roman"/>
          <w:sz w:val="24"/>
        </w:rPr>
      </w:pPr>
      <w:r>
        <w:rPr>
          <w:rFonts w:cs="Times New Roman"/>
          <w:sz w:val="24"/>
        </w:rPr>
        <w:t xml:space="preserve">This selection bias has a deeper cause than data availability alone: the asking price on a listing platform is a developer or seller's opening offer, shaped by how much demand they believe they can attract, not the equilibrium price a buyer eventually pays. Developers actively manage this gap — through marketing, financing packages, and phased release of units — to draw in buyers, so listing price partly reflects seller strategy rather than pure supply-and-demand fundamentals. Because this project models listing prices, not transacted prices, it captures what sellers ask for, not the underlying market-clearing dynamics between supply (new launches, completion rates, unsold stock) and demand (buyer affordability, income, financing cost) that ultimately move prices. Section V.E reports a first-pass attempt to extend the dataset with buyer-side context: district-level household income and poverty statistics, merged with listing prices to compute an affordability ratio. This covers the demand/affordability half of the picture, but the supply half remains out of reach within this project's timeframe: district-level new-launch and take-up figures are not published in a form that links cleanly to individual listings, unlike NAPIC's transacted-price records, which is why Section VII prioritises NAPIC/List.my integration and supply-side indicators as the next step.</w:t>
      </w:r>
    </w:p>
    <w:p w14:paraId="2D753945" w14:textId="2D753945" w:rsidR="000568CA" w:rsidRPr="005F774B" w:rsidRDefault="000568CA" w:rsidP="005F774B">
      <w:pPr>
        <w:spacing w:after="120" w:line="360" w:lineRule="auto"/>
        <w:jc w:val="both"/>
        <w:rPr>
          <w:rFonts w:cs="Times New Roman"/>
          <w:sz w:val="24"/>
        </w:rPr>
      </w:pPr>
      <w:r>
        <w:rPr>
          <w:rFonts w:cs="Times New Roman"/>
          <w:sz w:val="24"/>
        </w:rPr>
        <w:t>The missing-feature ceiling described above is not a theoretical concern: Ho, Tang and Wong [1] modelled about 40,000 Hong Kong property transactions with Random Forest and Gradient Boosting Machine using a feature set that included floor level, orientation and distance to the nearest transport node, and reported R² values considerably higher than those obtained in this project. Since their modelling approach (tree-based ensembles evaluated on real transaction data) is otherwise similar to ours, the gap is best explained by the extra property-level features available to their model rather than by a difference in method. This supports treating property age, renovation status, orientation and tenure as the most valuable additions for future work (Section VII), ahead of trying additional algorithms.</w:t>
      </w:r>
    </w:p>
    <w:p w14:paraId="0522BAC0" w14:textId="238EBCA4" w:rsidR="000568CA" w:rsidRPr="006C1A3D" w:rsidRDefault="001575BF"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lastRenderedPageBreak/>
        <w:t xml:space="preserve">VII. </w:t>
      </w:r>
      <w:r>
        <w:rPr>
          <w:rFonts w:ascii="Times New Roman" w:hAnsi="Times New Roman" w:cs="Times New Roman"/>
          <w:b/>
          <w:bCs/>
          <w:sz w:val="24"/>
          <w:szCs w:val="24"/>
        </w:rPr>
        <w:t>Future Work</w:t>
      </w:r>
    </w:p>
    <w:p w14:paraId="20631172" w14:textId="77777777" w:rsidR="000568CA" w:rsidRPr="001575BF" w:rsidRDefault="000568CA" w:rsidP="00EE1C72">
      <w:pPr>
        <w:pStyle w:val="ListParagraph"/>
        <w:numPr>
          <w:ilvl w:val="0"/>
          <w:numId w:val="26"/>
        </w:numPr>
        <w:spacing w:after="60" w:line="360" w:lineRule="auto"/>
        <w:jc w:val="both"/>
        <w:rPr>
          <w:rFonts w:cs="Times New Roman"/>
          <w:sz w:val="24"/>
        </w:rPr>
      </w:pPr>
      <w:r>
        <w:rPr>
          <w:rFonts w:cs="Times New Roman"/>
          <w:sz w:val="24"/>
        </w:rPr>
        <w:t>Enrich features with property age, renovation status, and tenure by scraping listing detail pages, which is the only way to raise the accuracy ceiling.</w:t>
      </w:r>
    </w:p>
    <w:p w14:paraId="13A11703" w14:textId="77777777" w:rsidR="000568CA" w:rsidRPr="001575BF" w:rsidRDefault="000568CA" w:rsidP="00EE1C72">
      <w:pPr>
        <w:pStyle w:val="ListParagraph"/>
        <w:numPr>
          <w:ilvl w:val="0"/>
          <w:numId w:val="26"/>
        </w:numPr>
        <w:spacing w:after="60" w:line="360" w:lineRule="auto"/>
        <w:jc w:val="both"/>
        <w:rPr>
          <w:rFonts w:cs="Times New Roman"/>
          <w:sz w:val="24"/>
        </w:rPr>
      </w:pPr>
      <w:r>
        <w:rPr>
          <w:rFonts w:cs="Times New Roman"/>
          <w:sz w:val="24"/>
        </w:rPr>
        <w:t>Incorporate true transacted prices (e.g. from NAPIC or List.my) to correct the listing-price selection bias, and pair this with district-level supply indicators (new launches, completion rates, unsold stock) to complete the supply-and-demand picture that Section V.E's affordability analysis only partially addresses (demand/income side only) — this remains the single highest-value addition identified in this project.</w:t>
      </w:r>
    </w:p>
    <w:p w14:paraId="25FC8457" w14:textId="77777777" w:rsidR="000568CA" w:rsidRPr="001575BF" w:rsidRDefault="000568CA" w:rsidP="00EE1C72">
      <w:pPr>
        <w:pStyle w:val="ListParagraph"/>
        <w:numPr>
          <w:ilvl w:val="0"/>
          <w:numId w:val="26"/>
        </w:numPr>
        <w:spacing w:after="60" w:line="360" w:lineRule="auto"/>
        <w:jc w:val="both"/>
        <w:rPr>
          <w:rFonts w:cs="Times New Roman"/>
          <w:sz w:val="24"/>
        </w:rPr>
      </w:pPr>
      <w:r>
        <w:rPr>
          <w:rFonts w:cs="Times New Roman"/>
          <w:sz w:val="24"/>
        </w:rPr>
        <w:t>Add a low-sample-area warning so that estimates for districts with few samples are flagged as less reliable.</w:t>
      </w:r>
    </w:p>
    <w:p w14:paraId="636DC490" w14:textId="77777777" w:rsidR="000568CA" w:rsidRPr="001575BF" w:rsidRDefault="000568CA" w:rsidP="00EE1C72">
      <w:pPr>
        <w:pStyle w:val="ListParagraph"/>
        <w:numPr>
          <w:ilvl w:val="0"/>
          <w:numId w:val="26"/>
        </w:numPr>
        <w:spacing w:after="60" w:line="360" w:lineRule="auto"/>
        <w:jc w:val="both"/>
        <w:rPr>
          <w:rFonts w:cs="Times New Roman"/>
          <w:sz w:val="24"/>
        </w:rPr>
      </w:pPr>
      <w:r>
        <w:rPr>
          <w:rFonts w:cs="Times New Roman"/>
          <w:sz w:val="24"/>
        </w:rPr>
        <w:t>Address bathroom–size collinearity by combining correlated features into a single property-scale feature.</w:t>
      </w:r>
    </w:p>
    <w:p w14:paraId="636DC491" w14:textId="636DC491" w:rsidR="000568CA" w:rsidRPr="001575BF" w:rsidRDefault="000568CA" w:rsidP="00EE1C72">
      <w:pPr>
        <w:pStyle w:val="ListParagraph"/>
        <w:numPr>
          <w:ilvl w:val="0"/>
          <w:numId w:val="26"/>
        </w:numPr>
        <w:spacing w:after="60" w:line="360" w:lineRule="auto"/>
        <w:jc w:val="both"/>
        <w:rPr>
          <w:rFonts w:cs="Times New Roman"/>
          <w:sz w:val="24"/>
        </w:rPr>
      </w:pPr>
      <w:r>
        <w:rPr>
          <w:rFonts w:cs="Times New Roman"/>
          <w:sz w:val="24"/>
        </w:rPr>
        <w:t>Explore combining the three trained models into a hybrid or stacked ensemble. Nnadozie, Matthias and Bennett [4] report gains from multi-level stacking on a comparable housing dataset. However, Chan [5] found a single Random Forest outperformed a stacked ensemble on one of two datasets tested, so any ensemble adopted here should be validated against the current single-model baseline (Table 2) rather than assumed to be an improvement.</w:t>
      </w:r>
    </w:p>
    <w:p w14:paraId="051AA2AE" w14:textId="3C40BA55" w:rsidR="000568CA" w:rsidRPr="006C1A3D" w:rsidRDefault="001575BF" w:rsidP="005F774B">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VIII. </w:t>
      </w:r>
      <w:r>
        <w:rPr>
          <w:rFonts w:ascii="Times New Roman" w:hAnsi="Times New Roman" w:cs="Times New Roman"/>
          <w:b/>
          <w:bCs/>
          <w:sz w:val="24"/>
          <w:szCs w:val="24"/>
        </w:rPr>
        <w:t>Conclusion</w:t>
      </w:r>
    </w:p>
    <w:p w14:paraId="3749EA81" w14:textId="5367D6A8" w:rsidR="00BB6106" w:rsidRDefault="000568CA" w:rsidP="005F774B">
      <w:pPr>
        <w:spacing w:after="120" w:line="360" w:lineRule="auto"/>
        <w:jc w:val="both"/>
        <w:rPr>
          <w:rFonts w:cs="Times New Roman"/>
          <w:sz w:val="24"/>
        </w:rPr>
      </w:pPr>
      <w:r>
        <w:rPr>
          <w:rFonts w:cs="Times New Roman"/>
          <w:sz w:val="24"/>
        </w:rPr>
        <w:t xml:space="preserve">This project delivered a working decision support system for Johor property prices, built on a cleaned 2,511-row dataset (after removing 597 duplicate rows from the 3,108-row raw collection), three compared data mining models, and a three-table database. The system's value lies not in a high accuracy figure (which is bounded by the available features) but in its honest, usable decision output and in the analytical rigour applied throughout — particularly the recovery of mislabelled data, the principled consolidation of fragmented locations, the identification of misleading feature importance caused by collinearity, and a systematic evaluation of data-source limitations.</w:t>
      </w:r>
    </w:p>
    <w:p w14:paraId="30B5BB3E" w14:textId="134F21E1" w:rsidR="0060042A" w:rsidRPr="00A33166" w:rsidRDefault="001575BF" w:rsidP="00A33166">
      <w:pPr>
        <w:pStyle w:val="Heading1"/>
        <w:spacing w:line="360" w:lineRule="auto"/>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IX. References</w:t>
      </w:r>
    </w:p>
    <w:p w14:paraId="07B8A7CB" w14:textId="1209FAE3" w:rsidR="0060042A" w:rsidRDefault="0060042A" w:rsidP="0060042A">
      <w:pPr>
        <w:spacing w:after="120" w:line="360" w:lineRule="auto"/>
        <w:jc w:val="both"/>
        <w:rPr>
          <w:rFonts w:cs="Times New Roman"/>
          <w:sz w:val="24"/>
        </w:rPr>
      </w:pPr>
      <w:r>
        <w:rPr>
          <w:rFonts w:cs="Times New Roman"/>
          <w:sz w:val="24"/>
        </w:rPr>
        <w:t>[</w:t>
      </w:r>
      <w:r>
        <w:rPr>
          <w:rFonts w:cs="Times New Roman" w:hint="eastAsia"/>
          <w:sz w:val="24"/>
          <w:lang w:eastAsia="zh-CN"/>
        </w:rPr>
        <w:t>1</w:t>
      </w:r>
      <w:r>
        <w:rPr>
          <w:rFonts w:cs="Times New Roman"/>
          <w:sz w:val="24"/>
        </w:rPr>
        <w:t>] W. K. Ho, B.-S. Tang, and S. W. Wong, "Predicting property prices with machine learning algorithms," Journal of Property Research, vol. 38, no. 1, pp. 48–70, 2021.</w:t>
      </w:r>
    </w:p>
    <w:p w14:paraId="4FE0DF09" w14:textId="1AA477FD" w:rsidR="00A33166" w:rsidRDefault="00A33166" w:rsidP="0060042A">
      <w:pPr>
        <w:spacing w:after="120" w:line="360" w:lineRule="auto"/>
        <w:jc w:val="both"/>
        <w:rPr>
          <w:rFonts w:cs="Times New Roman"/>
          <w:sz w:val="24"/>
        </w:rPr>
      </w:pPr>
      <w:r>
        <w:rPr>
          <w:rFonts w:cs="Times New Roman"/>
          <w:sz w:val="24"/>
        </w:rPr>
        <w:t>[</w:t>
      </w:r>
      <w:r>
        <w:rPr>
          <w:rFonts w:cs="Times New Roman" w:hint="eastAsia"/>
          <w:sz w:val="24"/>
          <w:lang w:eastAsia="zh-CN"/>
        </w:rPr>
        <w:t>2</w:t>
      </w:r>
      <w:r>
        <w:rPr>
          <w:rFonts w:cs="Times New Roman"/>
          <w:sz w:val="24"/>
        </w:rPr>
        <w:t>] Z. A. Nasir, R. Mohd Yusof, and A. R. Mazlan, "The impact of monetary policy on housing affordability in Malaysia," PLANNING MALAYSIA, vol. 20, no. 20, 2022.</w:t>
      </w:r>
    </w:p>
    <w:p w14:paraId="07B8A7CE" w14:textId="248EC8AD" w:rsidR="0060042A" w:rsidRDefault="0060042A" w:rsidP="0060042A">
      <w:pPr>
        <w:spacing w:after="120" w:line="360" w:lineRule="auto"/>
        <w:jc w:val="both"/>
        <w:rPr>
          <w:rFonts w:cs="Times New Roman"/>
          <w:sz w:val="24"/>
        </w:rPr>
      </w:pPr>
      <w:r>
        <w:rPr>
          <w:rFonts w:cs="Times New Roman"/>
          <w:sz w:val="24"/>
        </w:rPr>
        <w:t>[</w:t>
      </w:r>
      <w:r>
        <w:rPr>
          <w:rFonts w:cs="Times New Roman" w:hint="eastAsia"/>
          <w:sz w:val="24"/>
          <w:lang w:eastAsia="zh-CN"/>
        </w:rPr>
        <w:t>3</w:t>
      </w:r>
      <w:r>
        <w:rPr>
          <w:rFonts w:cs="Times New Roman"/>
          <w:sz w:val="24"/>
        </w:rPr>
        <w:t>] S. Y. Oh, S. P. Hang, and J. T. W. Wang, "Prediction of residential property prices using machine learning algorithms," ITM Web of Conferences, vol. 67, art. 01042, 2024.</w:t>
      </w:r>
    </w:p>
    <w:p w14:paraId="07B8A7D0" w14:textId="0B8FF3B7" w:rsidR="0060042A" w:rsidRDefault="0060042A" w:rsidP="0060042A">
      <w:pPr>
        <w:spacing w:after="120" w:line="360" w:lineRule="auto"/>
        <w:jc w:val="both"/>
        <w:rPr>
          <w:rFonts w:cs="Times New Roman"/>
          <w:sz w:val="24"/>
        </w:rPr>
      </w:pPr>
      <w:r>
        <w:rPr>
          <w:rFonts w:cs="Times New Roman"/>
          <w:sz w:val="24"/>
        </w:rPr>
        <w:t>[</w:t>
      </w:r>
      <w:r>
        <w:rPr>
          <w:rFonts w:cs="Times New Roman" w:hint="eastAsia"/>
          <w:sz w:val="24"/>
          <w:lang w:eastAsia="zh-CN"/>
        </w:rPr>
        <w:t>4</w:t>
      </w:r>
      <w:r>
        <w:rPr>
          <w:rFonts w:cs="Times New Roman"/>
          <w:sz w:val="24"/>
        </w:rPr>
        <w:t>] L. Nnadozie, D. Matthias, and E. O. Bennett, "A model for real estate price prediction using multi-level stacking ensemble technique," European Journal of Computer Science and Information Technology, vol. 10, no. 3, pp. 33–45, 2022.</w:t>
      </w:r>
    </w:p>
    <w:p w14:paraId="07B8A7D1" w14:textId="129B0FE6" w:rsidR="0060042A" w:rsidRDefault="0060042A" w:rsidP="0060042A">
      <w:pPr>
        <w:spacing w:after="120" w:line="360" w:lineRule="auto"/>
        <w:jc w:val="both"/>
        <w:rPr>
          <w:rFonts w:cs="Times New Roman"/>
          <w:sz w:val="24"/>
        </w:rPr>
      </w:pPr>
      <w:r>
        <w:rPr>
          <w:rFonts w:cs="Times New Roman"/>
          <w:sz w:val="24"/>
        </w:rPr>
        <w:t>[</w:t>
      </w:r>
      <w:r>
        <w:rPr>
          <w:rFonts w:cs="Times New Roman" w:hint="eastAsia"/>
          <w:sz w:val="24"/>
          <w:lang w:eastAsia="zh-CN"/>
        </w:rPr>
        <w:t>5</w:t>
      </w:r>
      <w:r>
        <w:rPr>
          <w:rFonts w:cs="Times New Roman"/>
          <w:sz w:val="24"/>
        </w:rPr>
        <w:t>] H. R. Chan, "Rent price prediction with advanced machine learning methods: A comparison of California and Texas," Highlights in Science, Engineering and Technology, vol. 85, pp. 501–510, 2024.</w:t>
      </w:r>
    </w:p>
    <w:p w14:paraId="437A8DBB" w14:textId="41BAF9F9" w:rsidR="000568CA" w:rsidRPr="006C1A3D" w:rsidRDefault="001575BF" w:rsidP="00BB6106">
      <w:pPr>
        <w:pStyle w:val="Heading1"/>
        <w:spacing w:line="360" w:lineRule="auto"/>
        <w:jc w:val="both"/>
        <w:rPr>
          <w:rFonts w:ascii="Times New Roman" w:hAnsi="Times New Roman" w:cs="Times New Roman"/>
          <w:b/>
          <w:bCs/>
          <w:sz w:val="24"/>
          <w:szCs w:val="24"/>
        </w:rPr>
      </w:pPr>
      <w:r>
        <w:rPr>
          <w:rFonts w:ascii="Times New Roman" w:hAnsi="Times New Roman" w:cs="Times New Roman" w:hint="eastAsia"/>
          <w:b/>
          <w:bCs/>
          <w:sz w:val="24"/>
          <w:szCs w:val="24"/>
          <w:lang w:eastAsia="zh-CN"/>
        </w:rPr>
        <w:t xml:space="preserve">X. </w:t>
      </w:r>
      <w:r>
        <w:rPr>
          <w:rFonts w:ascii="Times New Roman" w:hAnsi="Times New Roman" w:cs="Times New Roman"/>
          <w:b/>
          <w:bCs/>
          <w:sz w:val="24"/>
          <w:szCs w:val="24"/>
        </w:rPr>
        <w:t>Appendix</w:t>
      </w:r>
    </w:p>
    <w:p w14:paraId="4F9C0FC8" w14:textId="77777777" w:rsidR="000568CA" w:rsidRPr="001575BF" w:rsidRDefault="000568CA" w:rsidP="00EE1C72">
      <w:pPr>
        <w:pStyle w:val="ListParagraph"/>
        <w:numPr>
          <w:ilvl w:val="0"/>
          <w:numId w:val="28"/>
        </w:numPr>
        <w:spacing w:after="60" w:line="360" w:lineRule="auto"/>
        <w:jc w:val="both"/>
        <w:rPr>
          <w:rFonts w:cs="Times New Roman"/>
          <w:sz w:val="24"/>
        </w:rPr>
      </w:pPr>
      <w:r>
        <w:rPr>
          <w:rFonts w:cs="Times New Roman"/>
          <w:sz w:val="24"/>
        </w:rPr>
        <w:t>scraper_mudah.py, scraper_final.py — web scraping code</w:t>
      </w:r>
    </w:p>
    <w:p w14:paraId="3116451F" w14:textId="77777777" w:rsidR="000568CA" w:rsidRPr="001575BF" w:rsidRDefault="000568CA" w:rsidP="00EE1C72">
      <w:pPr>
        <w:pStyle w:val="ListParagraph"/>
        <w:numPr>
          <w:ilvl w:val="0"/>
          <w:numId w:val="28"/>
        </w:numPr>
        <w:spacing w:after="60" w:line="360" w:lineRule="auto"/>
        <w:jc w:val="both"/>
        <w:rPr>
          <w:sz w:val="24"/>
        </w:rPr>
      </w:pPr>
      <w:r>
        <w:rPr>
          <w:sz w:val="24"/>
        </w:rPr>
        <w:t>data_pipeline.py — an early, abandoned exploration script. Its code references features (price_per_sqft, distance_to_rts, is_freehold) that do not exist in the dataset actually used by this project (johor_final_clean.csv), indicating it was never run to completion on the real data. It is included for completeness but was not part of the pipeline that produced the results in this report.</w:t>
      </w:r>
    </w:p>
    <w:p w14:paraId="075503F9" w14:textId="77777777" w:rsidR="000568CA" w:rsidRPr="001575BF" w:rsidRDefault="000568CA" w:rsidP="00EE1C72">
      <w:pPr>
        <w:pStyle w:val="ListParagraph"/>
        <w:numPr>
          <w:ilvl w:val="0"/>
          <w:numId w:val="28"/>
        </w:numPr>
        <w:spacing w:after="60" w:line="360" w:lineRule="auto"/>
        <w:jc w:val="both"/>
        <w:rPr>
          <w:sz w:val="24"/>
        </w:rPr>
      </w:pPr>
      <w:r>
        <w:rPr>
          <w:sz w:val="24"/>
        </w:rPr>
        <w:lastRenderedPageBreak/>
        <w:t>build_database.py — the actual cleaning and consolidation pipeline used: location recovery, region consolidation, outlier handling, duplicate removal, and three-table SQLite construction.</w:t>
      </w:r>
    </w:p>
    <w:p w14:paraId="3E668B76" w14:textId="3E668B76" w:rsidR="000568CA" w:rsidRPr="001575BF" w:rsidRDefault="000568CA" w:rsidP="00EE1C72">
      <w:pPr>
        <w:pStyle w:val="ListParagraph"/>
        <w:numPr>
          <w:ilvl w:val="0"/>
          <w:numId w:val="28"/>
        </w:numPr>
        <w:spacing w:after="60" w:line="360" w:lineRule="auto"/>
        <w:jc w:val="both"/>
        <w:rPr>
          <w:sz w:val="24"/>
        </w:rPr>
      </w:pPr>
      <w:r>
        <w:rPr>
          <w:sz w:val="24"/>
        </w:rPr>
        <w:t>train_model.py — trains and evaluates the three candidate models (Linear Regression, Decision Tree, Random Forest) using a GroupShuffleSplit train-test split, and writes model_scores.json and house_model.pkl, which the deployed app reads.</w:t>
      </w:r>
    </w:p>
    <w:p w14:paraId="25B78992" w14:textId="7E2F149D" w:rsidR="00A1775E" w:rsidRPr="001575BF" w:rsidRDefault="000568CA" w:rsidP="00EE1C72">
      <w:pPr>
        <w:pStyle w:val="ListParagraph"/>
        <w:numPr>
          <w:ilvl w:val="0"/>
          <w:numId w:val="28"/>
        </w:numPr>
        <w:spacing w:after="60" w:line="360" w:lineRule="auto"/>
        <w:jc w:val="both"/>
        <w:rPr>
          <w:sz w:val="24"/>
        </w:rPr>
      </w:pPr>
      <w:r>
        <w:rPr>
          <w:sz w:val="24"/>
        </w:rPr>
        <w:t>app.py — Streamlit decision support system (Price Check, Data Dashboard, and Hidden Patterns/Apriori pages)</w:t>
      </w:r>
    </w:p>
    <w:p>
      <w:pPr>
        <w:pStyle w:val="ListParagraph"/>
        <w:numPr>
          <w:ilvl w:val="0"/>
          <w:numId w:val="28"/>
        </w:numPr>
        <w:spacing w:after="60" w:line="360" w:lineRule="auto"/>
        <w:jc w:val="both"/>
        <w:rPr>
          <w:sz w:val="24"/>
        </w:rPr>
      </w:pPr>
      <w:r>
        <w:rPr>
          <w:sz w:val="24"/>
        </w:rPr>
        <w:t xml:space="preserve">affordability_analysis.py, johor_income.csv, johor_poverty.csv — the district-level income/poverty affordability analysis reported in Section V.E.</w:t>
      </w:r>
    </w:p>
    <w:sectPr w:rsidR="00A1775E" w:rsidRPr="001575BF" w:rsidSect="000568CA">
      <w:type w:val="continuous"/>
      <w:pgSz w:w="11906" w:h="16838"/>
      <w:pgMar w:top="1440" w:right="1440" w:bottom="1440" w:left="1440" w:header="708" w:footer="708" w:gutter="0"/>
      <w:cols w:num="2" w:space="57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343EB" w14:textId="77777777" w:rsidR="00EB5BD0" w:rsidRDefault="00EB5BD0">
      <w:pPr>
        <w:spacing w:after="0" w:line="240" w:lineRule="auto"/>
      </w:pPr>
      <w:r>
        <w:separator/>
      </w:r>
    </w:p>
  </w:endnote>
  <w:endnote w:type="continuationSeparator" w:id="0">
    <w:p w14:paraId="0526F8DA" w14:textId="77777777" w:rsidR="00EB5BD0" w:rsidRDefault="00EB5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EF9C" w14:textId="77777777" w:rsidR="000568CA" w:rsidRDefault="000568CA">
    <w:pP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91408" w14:textId="77777777" w:rsidR="00EB5BD0" w:rsidRDefault="00EB5BD0">
      <w:pPr>
        <w:spacing w:after="0" w:line="240" w:lineRule="auto"/>
      </w:pPr>
      <w:r>
        <w:separator/>
      </w:r>
    </w:p>
  </w:footnote>
  <w:footnote w:type="continuationSeparator" w:id="0">
    <w:p w14:paraId="44A6BF14" w14:textId="77777777" w:rsidR="00EB5BD0" w:rsidRDefault="00EB5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9D5"/>
    <w:multiLevelType w:val="hybridMultilevel"/>
    <w:tmpl w:val="8766CD10"/>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E8E234E"/>
    <w:multiLevelType w:val="hybridMultilevel"/>
    <w:tmpl w:val="3EC6B5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52F6518"/>
    <w:multiLevelType w:val="hybridMultilevel"/>
    <w:tmpl w:val="6B32CB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9812640"/>
    <w:multiLevelType w:val="hybridMultilevel"/>
    <w:tmpl w:val="A8DC99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8A24E3"/>
    <w:multiLevelType w:val="hybridMultilevel"/>
    <w:tmpl w:val="13667B16"/>
    <w:lvl w:ilvl="0" w:tplc="4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E31583"/>
    <w:multiLevelType w:val="hybridMultilevel"/>
    <w:tmpl w:val="2E5A7D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60197B"/>
    <w:multiLevelType w:val="hybridMultilevel"/>
    <w:tmpl w:val="2E7A6E22"/>
    <w:lvl w:ilvl="0" w:tplc="4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D6E72"/>
    <w:multiLevelType w:val="hybridMultilevel"/>
    <w:tmpl w:val="4B3A4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2041A6A"/>
    <w:multiLevelType w:val="hybridMultilevel"/>
    <w:tmpl w:val="A38A72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51C04"/>
    <w:multiLevelType w:val="hybridMultilevel"/>
    <w:tmpl w:val="B6F8CB16"/>
    <w:lvl w:ilvl="0" w:tplc="496651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10C74"/>
    <w:multiLevelType w:val="hybridMultilevel"/>
    <w:tmpl w:val="029A269C"/>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39FE0ABA"/>
    <w:multiLevelType w:val="hybridMultilevel"/>
    <w:tmpl w:val="BAD036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9C665E"/>
    <w:multiLevelType w:val="multilevel"/>
    <w:tmpl w:val="C102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41F32"/>
    <w:multiLevelType w:val="hybridMultilevel"/>
    <w:tmpl w:val="DC203A86"/>
    <w:lvl w:ilvl="0" w:tplc="4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D7255D"/>
    <w:multiLevelType w:val="hybridMultilevel"/>
    <w:tmpl w:val="36A00A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3B2F03"/>
    <w:multiLevelType w:val="hybridMultilevel"/>
    <w:tmpl w:val="D91C7F8A"/>
    <w:lvl w:ilvl="0" w:tplc="4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E264178"/>
    <w:multiLevelType w:val="hybridMultilevel"/>
    <w:tmpl w:val="8FD08A6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7" w15:restartNumberingAfterBreak="0">
    <w:nsid w:val="55737666"/>
    <w:multiLevelType w:val="hybridMultilevel"/>
    <w:tmpl w:val="CDFE0DD6"/>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8" w15:restartNumberingAfterBreak="0">
    <w:nsid w:val="584478D8"/>
    <w:multiLevelType w:val="hybridMultilevel"/>
    <w:tmpl w:val="9F0C0E06"/>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9" w15:restartNumberingAfterBreak="0">
    <w:nsid w:val="5B744298"/>
    <w:multiLevelType w:val="hybridMultilevel"/>
    <w:tmpl w:val="8F3C9CF0"/>
    <w:lvl w:ilvl="0" w:tplc="4409000F">
      <w:start w:val="1"/>
      <w:numFmt w:val="decimal"/>
      <w:lvlText w:val="%1."/>
      <w:lvlJc w:val="left"/>
      <w:pPr>
        <w:ind w:left="720" w:hanging="360"/>
      </w:pPr>
    </w:lvl>
    <w:lvl w:ilvl="1" w:tplc="6D92EA2A">
      <w:numFmt w:val="decimal"/>
      <w:lvlText w:val=""/>
      <w:lvlJc w:val="left"/>
    </w:lvl>
    <w:lvl w:ilvl="2" w:tplc="D99A984C">
      <w:numFmt w:val="decimal"/>
      <w:lvlText w:val=""/>
      <w:lvlJc w:val="left"/>
    </w:lvl>
    <w:lvl w:ilvl="3" w:tplc="0186D50E">
      <w:numFmt w:val="decimal"/>
      <w:lvlText w:val=""/>
      <w:lvlJc w:val="left"/>
    </w:lvl>
    <w:lvl w:ilvl="4" w:tplc="237EF550">
      <w:numFmt w:val="decimal"/>
      <w:lvlText w:val=""/>
      <w:lvlJc w:val="left"/>
    </w:lvl>
    <w:lvl w:ilvl="5" w:tplc="AD38D2C6">
      <w:numFmt w:val="decimal"/>
      <w:lvlText w:val=""/>
      <w:lvlJc w:val="left"/>
    </w:lvl>
    <w:lvl w:ilvl="6" w:tplc="7C44CFDC">
      <w:numFmt w:val="decimal"/>
      <w:lvlText w:val=""/>
      <w:lvlJc w:val="left"/>
    </w:lvl>
    <w:lvl w:ilvl="7" w:tplc="BAFA8C54">
      <w:numFmt w:val="decimal"/>
      <w:lvlText w:val=""/>
      <w:lvlJc w:val="left"/>
    </w:lvl>
    <w:lvl w:ilvl="8" w:tplc="FFCAB728">
      <w:numFmt w:val="decimal"/>
      <w:lvlText w:val=""/>
      <w:lvlJc w:val="left"/>
    </w:lvl>
  </w:abstractNum>
  <w:abstractNum w:abstractNumId="20" w15:restartNumberingAfterBreak="0">
    <w:nsid w:val="5D986D9E"/>
    <w:multiLevelType w:val="hybridMultilevel"/>
    <w:tmpl w:val="2486B0D6"/>
    <w:lvl w:ilvl="0" w:tplc="4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125A85"/>
    <w:multiLevelType w:val="hybridMultilevel"/>
    <w:tmpl w:val="63C4DE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E157024"/>
    <w:multiLevelType w:val="hybridMultilevel"/>
    <w:tmpl w:val="AE4E7C9C"/>
    <w:lvl w:ilvl="0" w:tplc="D2F82BB8">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75A22C68"/>
    <w:multiLevelType w:val="hybridMultilevel"/>
    <w:tmpl w:val="E348CF5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799F0BBC"/>
    <w:multiLevelType w:val="hybridMultilevel"/>
    <w:tmpl w:val="953A380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5" w15:restartNumberingAfterBreak="0">
    <w:nsid w:val="7A9216CF"/>
    <w:multiLevelType w:val="hybridMultilevel"/>
    <w:tmpl w:val="332EE6C4"/>
    <w:lvl w:ilvl="0" w:tplc="44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F791174"/>
    <w:multiLevelType w:val="hybridMultilevel"/>
    <w:tmpl w:val="C738642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448427670">
    <w:abstractNumId w:val="9"/>
  </w:num>
  <w:num w:numId="2" w16cid:durableId="1280801552">
    <w:abstractNumId w:val="22"/>
  </w:num>
  <w:num w:numId="3" w16cid:durableId="1102258253">
    <w:abstractNumId w:val="23"/>
  </w:num>
  <w:num w:numId="4" w16cid:durableId="1051611713">
    <w:abstractNumId w:val="18"/>
  </w:num>
  <w:num w:numId="5" w16cid:durableId="1501577122">
    <w:abstractNumId w:val="26"/>
  </w:num>
  <w:num w:numId="6" w16cid:durableId="258025944">
    <w:abstractNumId w:val="24"/>
  </w:num>
  <w:num w:numId="7" w16cid:durableId="26027829">
    <w:abstractNumId w:val="17"/>
  </w:num>
  <w:num w:numId="8" w16cid:durableId="271596526">
    <w:abstractNumId w:val="16"/>
  </w:num>
  <w:num w:numId="9" w16cid:durableId="338124315">
    <w:abstractNumId w:val="12"/>
  </w:num>
  <w:num w:numId="10" w16cid:durableId="163277340">
    <w:abstractNumId w:val="1"/>
  </w:num>
  <w:num w:numId="11" w16cid:durableId="4598777">
    <w:abstractNumId w:val="19"/>
  </w:num>
  <w:num w:numId="12" w16cid:durableId="409273569">
    <w:abstractNumId w:val="8"/>
  </w:num>
  <w:num w:numId="13" w16cid:durableId="2091154295">
    <w:abstractNumId w:val="11"/>
  </w:num>
  <w:num w:numId="14" w16cid:durableId="1778020366">
    <w:abstractNumId w:val="14"/>
  </w:num>
  <w:num w:numId="15" w16cid:durableId="1398674587">
    <w:abstractNumId w:val="7"/>
  </w:num>
  <w:num w:numId="16" w16cid:durableId="70544605">
    <w:abstractNumId w:val="19"/>
  </w:num>
  <w:num w:numId="17" w16cid:durableId="1033730290">
    <w:abstractNumId w:val="5"/>
  </w:num>
  <w:num w:numId="18" w16cid:durableId="895505146">
    <w:abstractNumId w:val="0"/>
  </w:num>
  <w:num w:numId="19" w16cid:durableId="1624731726">
    <w:abstractNumId w:val="10"/>
  </w:num>
  <w:num w:numId="20" w16cid:durableId="854616063">
    <w:abstractNumId w:val="21"/>
  </w:num>
  <w:num w:numId="21" w16cid:durableId="1798916798">
    <w:abstractNumId w:val="2"/>
  </w:num>
  <w:num w:numId="22" w16cid:durableId="1609509040">
    <w:abstractNumId w:val="3"/>
  </w:num>
  <w:num w:numId="23" w16cid:durableId="718478327">
    <w:abstractNumId w:val="6"/>
  </w:num>
  <w:num w:numId="24" w16cid:durableId="1072318318">
    <w:abstractNumId w:val="25"/>
  </w:num>
  <w:num w:numId="25" w16cid:durableId="1772817964">
    <w:abstractNumId w:val="13"/>
  </w:num>
  <w:num w:numId="26" w16cid:durableId="197747058">
    <w:abstractNumId w:val="20"/>
  </w:num>
  <w:num w:numId="27" w16cid:durableId="1218979631">
    <w:abstractNumId w:val="15"/>
  </w:num>
  <w:num w:numId="28" w16cid:durableId="1544170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40C"/>
    <w:rsid w:val="000568CA"/>
    <w:rsid w:val="000C0B10"/>
    <w:rsid w:val="000C7E8C"/>
    <w:rsid w:val="00156F3A"/>
    <w:rsid w:val="001575BF"/>
    <w:rsid w:val="001755AF"/>
    <w:rsid w:val="002F7389"/>
    <w:rsid w:val="003C43DE"/>
    <w:rsid w:val="0040579B"/>
    <w:rsid w:val="004B08E9"/>
    <w:rsid w:val="005B5C35"/>
    <w:rsid w:val="005F36C1"/>
    <w:rsid w:val="005F774B"/>
    <w:rsid w:val="0060042A"/>
    <w:rsid w:val="00614D4B"/>
    <w:rsid w:val="006C1A3D"/>
    <w:rsid w:val="00723082"/>
    <w:rsid w:val="00765404"/>
    <w:rsid w:val="00785B07"/>
    <w:rsid w:val="00834802"/>
    <w:rsid w:val="008E3880"/>
    <w:rsid w:val="0092740C"/>
    <w:rsid w:val="00A1775E"/>
    <w:rsid w:val="00A33166"/>
    <w:rsid w:val="00A90274"/>
    <w:rsid w:val="00B5315B"/>
    <w:rsid w:val="00B70842"/>
    <w:rsid w:val="00B95EF7"/>
    <w:rsid w:val="00BB6106"/>
    <w:rsid w:val="00BE4E65"/>
    <w:rsid w:val="00CC0131"/>
    <w:rsid w:val="00DB0841"/>
    <w:rsid w:val="00E468E3"/>
    <w:rsid w:val="00EB5BD0"/>
    <w:rsid w:val="00EE1C72"/>
    <w:rsid w:val="00FA0A4E"/>
    <w:rsid w:val="00FD5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AFD8"/>
  <w15:chartTrackingRefBased/>
  <w15:docId w15:val="{900202EF-CBFE-4AFE-A777-C7FCA4D7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40C"/>
    <w:rPr>
      <w:rFonts w:eastAsiaTheme="majorEastAsia" w:cstheme="majorBidi"/>
      <w:color w:val="272727" w:themeColor="text1" w:themeTint="D8"/>
    </w:rPr>
  </w:style>
  <w:style w:type="paragraph" w:styleId="Title">
    <w:name w:val="Title"/>
    <w:basedOn w:val="Normal"/>
    <w:next w:val="Normal"/>
    <w:link w:val="TitleChar"/>
    <w:uiPriority w:val="10"/>
    <w:qFormat/>
    <w:rsid w:val="00927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40C"/>
    <w:pPr>
      <w:spacing w:before="160"/>
      <w:jc w:val="center"/>
    </w:pPr>
    <w:rPr>
      <w:i/>
      <w:iCs/>
      <w:color w:val="404040" w:themeColor="text1" w:themeTint="BF"/>
    </w:rPr>
  </w:style>
  <w:style w:type="character" w:customStyle="1" w:styleId="QuoteChar">
    <w:name w:val="Quote Char"/>
    <w:basedOn w:val="DefaultParagraphFont"/>
    <w:link w:val="Quote"/>
    <w:uiPriority w:val="29"/>
    <w:rsid w:val="0092740C"/>
    <w:rPr>
      <w:i/>
      <w:iCs/>
      <w:color w:val="404040" w:themeColor="text1" w:themeTint="BF"/>
    </w:rPr>
  </w:style>
  <w:style w:type="paragraph" w:styleId="ListParagraph">
    <w:name w:val="List Paragraph"/>
    <w:basedOn w:val="Normal"/>
    <w:qFormat/>
    <w:rsid w:val="0092740C"/>
    <w:pPr>
      <w:ind w:left="720"/>
      <w:contextualSpacing/>
    </w:pPr>
  </w:style>
  <w:style w:type="character" w:styleId="IntenseEmphasis">
    <w:name w:val="Intense Emphasis"/>
    <w:basedOn w:val="DefaultParagraphFont"/>
    <w:uiPriority w:val="21"/>
    <w:qFormat/>
    <w:rsid w:val="0092740C"/>
    <w:rPr>
      <w:i/>
      <w:iCs/>
      <w:color w:val="0F4761" w:themeColor="accent1" w:themeShade="BF"/>
    </w:rPr>
  </w:style>
  <w:style w:type="paragraph" w:styleId="IntenseQuote">
    <w:name w:val="Intense Quote"/>
    <w:basedOn w:val="Normal"/>
    <w:next w:val="Normal"/>
    <w:link w:val="IntenseQuoteChar"/>
    <w:uiPriority w:val="30"/>
    <w:qFormat/>
    <w:rsid w:val="00927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40C"/>
    <w:rPr>
      <w:i/>
      <w:iCs/>
      <w:color w:val="0F4761" w:themeColor="accent1" w:themeShade="BF"/>
    </w:rPr>
  </w:style>
  <w:style w:type="character" w:styleId="IntenseReference">
    <w:name w:val="Intense Reference"/>
    <w:basedOn w:val="DefaultParagraphFont"/>
    <w:uiPriority w:val="32"/>
    <w:qFormat/>
    <w:rsid w:val="0092740C"/>
    <w:rPr>
      <w:b/>
      <w:bCs/>
      <w:smallCaps/>
      <w:color w:val="0F4761" w:themeColor="accent1" w:themeShade="BF"/>
      <w:spacing w:val="5"/>
    </w:rPr>
  </w:style>
  <w:style w:type="paragraph" w:customStyle="1" w:styleId="Author">
    <w:name w:val="Author"/>
    <w:rsid w:val="0092740C"/>
    <w:pPr>
      <w:spacing w:before="360" w:after="40" w:line="240" w:lineRule="auto"/>
      <w:jc w:val="center"/>
    </w:pPr>
    <w:rPr>
      <w:rFonts w:eastAsia="SimSun" w:cs="Times New Roman"/>
      <w:noProof/>
      <w:kern w:val="0"/>
      <w:sz w:val="22"/>
      <w:szCs w:val="22"/>
      <w14:ligatures w14:val="none"/>
    </w:rPr>
  </w:style>
  <w:style w:type="table" w:styleId="TableGrid">
    <w:name w:val="Table Grid"/>
    <w:basedOn w:val="TableNormal"/>
    <w:uiPriority w:val="39"/>
    <w:rsid w:val="002F7389"/>
    <w:pPr>
      <w:spacing w:after="0" w:line="240" w:lineRule="auto"/>
    </w:pPr>
    <w:rPr>
      <w:rFonts w:asciiTheme="minorHAnsi" w:hAnsiTheme="minorHAnsi"/>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568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568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568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568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F36C1"/>
    <w:rPr>
      <w:color w:val="467886" w:themeColor="hyperlink"/>
      <w:u w:val="single"/>
    </w:rPr>
  </w:style>
  <w:style w:type="character" w:styleId="UnresolvedMention">
    <w:name w:val="Unresolved Mention"/>
    <w:basedOn w:val="DefaultParagraphFont"/>
    <w:uiPriority w:val="99"/>
    <w:semiHidden/>
    <w:unhideWhenUsed/>
    <w:rsid w:val="005F3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e.wenxin@raffles.universit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Chew.SY@raffles.university" TargetMode="External"/><Relationship Id="rId4" Type="http://schemas.openxmlformats.org/officeDocument/2006/relationships/settings" Target="settings.xml"/><Relationship Id="rId9" Type="http://schemas.openxmlformats.org/officeDocument/2006/relationships/hyperlink" Target="mailto:jaff.go@raffles.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2C4C2F-89EF-4F77-80E4-B5E6E82D5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7</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WEN XIN</dc:creator>
  <cp:keywords/>
  <dc:description/>
  <cp:lastModifiedBy>LEE WEN XIN</cp:lastModifiedBy>
  <cp:revision>15</cp:revision>
  <dcterms:created xsi:type="dcterms:W3CDTF">2026-06-30T02:05:00Z</dcterms:created>
  <dcterms:modified xsi:type="dcterms:W3CDTF">2026-07-11T16:29:00Z</dcterms:modified>
</cp:coreProperties>
</file>