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84A44" w14:textId="77777777" w:rsidR="00F96EAF" w:rsidRPr="002A2343" w:rsidRDefault="00F96EAF">
      <w:pPr>
        <w:jc w:val="center"/>
        <w:rPr>
          <w:rFonts w:ascii="Times New Roman" w:hAnsi="Times New Roman" w:cs="Times New Roman"/>
        </w:rPr>
      </w:pPr>
    </w:p>
    <w:p w14:paraId="5EC5F289" w14:textId="77777777" w:rsidR="00F96EAF" w:rsidRPr="002A2343" w:rsidRDefault="00F96EAF">
      <w:pPr>
        <w:jc w:val="center"/>
        <w:rPr>
          <w:rFonts w:ascii="Times New Roman" w:hAnsi="Times New Roman" w:cs="Times New Roman"/>
        </w:rPr>
      </w:pPr>
    </w:p>
    <w:p w14:paraId="6AF657D2" w14:textId="77777777" w:rsidR="00F96EAF" w:rsidRPr="002A2343" w:rsidRDefault="00F96EAF">
      <w:pPr>
        <w:jc w:val="center"/>
        <w:rPr>
          <w:rFonts w:ascii="Times New Roman" w:hAnsi="Times New Roman" w:cs="Times New Roman"/>
        </w:rPr>
      </w:pPr>
    </w:p>
    <w:p w14:paraId="0793FC44" w14:textId="77777777" w:rsidR="00F96EAF" w:rsidRPr="002A2343" w:rsidRDefault="00000000">
      <w:pPr>
        <w:jc w:val="center"/>
        <w:rPr>
          <w:rFonts w:ascii="Times New Roman" w:hAnsi="Times New Roman" w:cs="Times New Roman"/>
        </w:rPr>
      </w:pPr>
      <w:r w:rsidRPr="002A2343">
        <w:rPr>
          <w:rFonts w:ascii="Times New Roman" w:hAnsi="Times New Roman" w:cs="Times New Roman"/>
          <w:noProof/>
        </w:rPr>
        <w:drawing>
          <wp:inline distT="0" distB="0" distL="0" distR="0" wp14:anchorId="6999F327" wp14:editId="52121747">
            <wp:extent cx="2011680" cy="811731"/>
            <wp:effectExtent l="0" t="0" r="0" b="0"/>
            <wp:docPr id="2128236177" name="Picture 2128236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2011680" cy="811731"/>
                    </a:xfrm>
                    <a:prstGeom prst="rect">
                      <a:avLst/>
                    </a:prstGeom>
                  </pic:spPr>
                </pic:pic>
              </a:graphicData>
            </a:graphic>
          </wp:inline>
        </w:drawing>
      </w:r>
    </w:p>
    <w:p w14:paraId="5341829C" w14:textId="77777777" w:rsidR="00F96EAF" w:rsidRPr="002A2343" w:rsidRDefault="00F96EAF">
      <w:pPr>
        <w:jc w:val="center"/>
        <w:rPr>
          <w:rFonts w:ascii="Times New Roman" w:hAnsi="Times New Roman" w:cs="Times New Roman"/>
        </w:rPr>
      </w:pPr>
    </w:p>
    <w:p w14:paraId="35CC85F3" w14:textId="77777777" w:rsidR="002A2343" w:rsidRPr="002A2343" w:rsidRDefault="002A2343">
      <w:pPr>
        <w:jc w:val="center"/>
        <w:rPr>
          <w:rFonts w:ascii="Times New Roman" w:hAnsi="Times New Roman" w:cs="Times New Roman"/>
        </w:rPr>
      </w:pPr>
    </w:p>
    <w:p w14:paraId="43F3E4A3" w14:textId="77777777" w:rsidR="002A2343" w:rsidRPr="002A2343" w:rsidRDefault="002A2343">
      <w:pPr>
        <w:jc w:val="center"/>
        <w:rPr>
          <w:rFonts w:ascii="Times New Roman" w:hAnsi="Times New Roman" w:cs="Times New Roman"/>
        </w:rPr>
      </w:pPr>
    </w:p>
    <w:p w14:paraId="07600078" w14:textId="77777777" w:rsidR="002A2343" w:rsidRPr="002A2343" w:rsidRDefault="002A2343">
      <w:pPr>
        <w:jc w:val="center"/>
        <w:rPr>
          <w:rFonts w:ascii="Times New Roman" w:hAnsi="Times New Roman" w:cs="Times New Roman"/>
        </w:rPr>
      </w:pPr>
    </w:p>
    <w:p w14:paraId="2ED108BA" w14:textId="77777777" w:rsidR="002A2343" w:rsidRPr="002A2343" w:rsidRDefault="002A2343">
      <w:pPr>
        <w:jc w:val="center"/>
        <w:rPr>
          <w:rFonts w:ascii="Times New Roman" w:hAnsi="Times New Roman" w:cs="Times New Roman"/>
        </w:rPr>
      </w:pPr>
    </w:p>
    <w:p w14:paraId="71F4C59E" w14:textId="77777777" w:rsidR="002A2343" w:rsidRPr="002A2343" w:rsidRDefault="002A2343" w:rsidP="002A2343">
      <w:pPr>
        <w:jc w:val="center"/>
        <w:rPr>
          <w:rFonts w:ascii="Times New Roman" w:hAnsi="Times New Roman" w:cs="Times New Roman"/>
          <w:sz w:val="40"/>
          <w:szCs w:val="40"/>
        </w:rPr>
      </w:pPr>
      <w:r w:rsidRPr="002A2343">
        <w:rPr>
          <w:rFonts w:ascii="Times New Roman" w:hAnsi="Times New Roman" w:cs="Times New Roman"/>
          <w:b/>
          <w:sz w:val="40"/>
          <w:szCs w:val="40"/>
        </w:rPr>
        <w:t>BDS23114 Data Analytics</w:t>
      </w:r>
    </w:p>
    <w:p w14:paraId="564E2BF1" w14:textId="77777777" w:rsidR="002A2343" w:rsidRDefault="002A2343" w:rsidP="002A2343">
      <w:pPr>
        <w:jc w:val="center"/>
        <w:rPr>
          <w:rFonts w:ascii="Times New Roman" w:hAnsi="Times New Roman" w:cs="Times New Roman"/>
          <w:b/>
          <w:sz w:val="40"/>
          <w:szCs w:val="40"/>
        </w:rPr>
      </w:pPr>
      <w:r w:rsidRPr="002A2343">
        <w:rPr>
          <w:rFonts w:ascii="Times New Roman" w:hAnsi="Times New Roman" w:cs="Times New Roman"/>
          <w:b/>
          <w:sz w:val="40"/>
          <w:szCs w:val="40"/>
        </w:rPr>
        <w:t>Project Report</w:t>
      </w:r>
    </w:p>
    <w:p w14:paraId="295DE251" w14:textId="77777777" w:rsidR="002A2343" w:rsidRDefault="002A2343" w:rsidP="002A2343">
      <w:pPr>
        <w:jc w:val="center"/>
        <w:rPr>
          <w:rFonts w:ascii="Times New Roman" w:hAnsi="Times New Roman" w:cs="Times New Roman"/>
          <w:sz w:val="40"/>
          <w:szCs w:val="40"/>
        </w:rPr>
      </w:pPr>
    </w:p>
    <w:p w14:paraId="7F7A36C5" w14:textId="3E48D96A" w:rsidR="002A2343" w:rsidRPr="002A2343" w:rsidRDefault="002A2343" w:rsidP="002A2343">
      <w:pPr>
        <w:jc w:val="center"/>
        <w:rPr>
          <w:rFonts w:ascii="Times New Roman" w:hAnsi="Times New Roman" w:cs="Times New Roman" w:hint="eastAsia"/>
          <w:sz w:val="40"/>
          <w:szCs w:val="40"/>
        </w:rPr>
      </w:pPr>
      <w:r>
        <w:rPr>
          <w:rFonts w:ascii="Times New Roman" w:hAnsi="Times New Roman" w:cs="Times New Roman"/>
          <w:sz w:val="40"/>
          <w:szCs w:val="40"/>
        </w:rPr>
        <w:t>P</w:t>
      </w:r>
      <w:r>
        <w:rPr>
          <w:rFonts w:ascii="Times New Roman" w:hAnsi="Times New Roman" w:cs="Times New Roman" w:hint="eastAsia"/>
          <w:sz w:val="40"/>
          <w:szCs w:val="40"/>
        </w:rPr>
        <w:t>redictive Modeling of FIFA World Cup Match Outcomes</w:t>
      </w:r>
    </w:p>
    <w:p w14:paraId="0FF8ABF9" w14:textId="77777777" w:rsidR="002A2343" w:rsidRPr="002A2343" w:rsidRDefault="002A2343" w:rsidP="002A2343">
      <w:pPr>
        <w:jc w:val="center"/>
        <w:rPr>
          <w:rFonts w:ascii="Times New Roman" w:hAnsi="Times New Roman" w:cs="Times New Roman"/>
          <w:sz w:val="40"/>
          <w:szCs w:val="40"/>
        </w:rPr>
      </w:pPr>
    </w:p>
    <w:p w14:paraId="51EA26C1" w14:textId="77777777" w:rsidR="002A2343" w:rsidRPr="002A2343" w:rsidRDefault="002A2343" w:rsidP="002A2343">
      <w:pPr>
        <w:jc w:val="center"/>
        <w:rPr>
          <w:rFonts w:ascii="Times New Roman" w:hAnsi="Times New Roman" w:cs="Times New Roman"/>
          <w:sz w:val="40"/>
          <w:szCs w:val="40"/>
        </w:rPr>
      </w:pPr>
      <w:proofErr w:type="gramStart"/>
      <w:r w:rsidRPr="002A2343">
        <w:rPr>
          <w:rFonts w:ascii="Times New Roman" w:hAnsi="Times New Roman" w:cs="Times New Roman"/>
          <w:sz w:val="40"/>
          <w:szCs w:val="40"/>
        </w:rPr>
        <w:t>Lecturer :</w:t>
      </w:r>
      <w:proofErr w:type="gramEnd"/>
      <w:r w:rsidRPr="002A2343">
        <w:rPr>
          <w:rFonts w:ascii="Times New Roman" w:hAnsi="Times New Roman" w:cs="Times New Roman"/>
          <w:sz w:val="40"/>
          <w:szCs w:val="40"/>
        </w:rPr>
        <w:t xml:space="preserve"> Dr. Ng Choon Ching</w:t>
      </w:r>
    </w:p>
    <w:p w14:paraId="3A588BB7" w14:textId="77777777" w:rsidR="002A2343" w:rsidRPr="002A2343" w:rsidRDefault="002A2343">
      <w:pPr>
        <w:jc w:val="center"/>
        <w:rPr>
          <w:rFonts w:ascii="Times New Roman" w:hAnsi="Times New Roman" w:cs="Times New Roman"/>
          <w:sz w:val="40"/>
          <w:szCs w:val="40"/>
        </w:rPr>
      </w:pPr>
    </w:p>
    <w:p w14:paraId="133C8692" w14:textId="77777777" w:rsidR="00F96EAF" w:rsidRPr="002A2343" w:rsidRDefault="00F96EAF">
      <w:pPr>
        <w:jc w:val="center"/>
        <w:rPr>
          <w:rFonts w:ascii="Times New Roman" w:hAnsi="Times New Roman" w:cs="Times New Roman"/>
          <w:sz w:val="40"/>
          <w:szCs w:val="40"/>
        </w:rPr>
      </w:pPr>
    </w:p>
    <w:p w14:paraId="14035819" w14:textId="77777777" w:rsidR="00F96EAF" w:rsidRPr="002A2343" w:rsidRDefault="00000000">
      <w:pPr>
        <w:jc w:val="center"/>
        <w:rPr>
          <w:rFonts w:ascii="Times New Roman" w:hAnsi="Times New Roman" w:cs="Times New Roman"/>
          <w:sz w:val="40"/>
          <w:szCs w:val="40"/>
        </w:rPr>
      </w:pPr>
      <w:r w:rsidRPr="002A2343">
        <w:rPr>
          <w:rFonts w:ascii="Times New Roman" w:hAnsi="Times New Roman" w:cs="Times New Roman"/>
          <w:sz w:val="40"/>
          <w:szCs w:val="40"/>
        </w:rPr>
        <w:t>Lee Wen Xin          Student ID: BIT-B2201F-2505004</w:t>
      </w:r>
    </w:p>
    <w:p w14:paraId="7C1ED37D" w14:textId="0BC992C6" w:rsidR="0092650A" w:rsidRPr="002A2343" w:rsidRDefault="00000000" w:rsidP="002A2343">
      <w:pPr>
        <w:rPr>
          <w:rFonts w:ascii="Times New Roman" w:hAnsi="Times New Roman" w:cs="Times New Roman"/>
          <w:sz w:val="40"/>
          <w:szCs w:val="40"/>
        </w:rPr>
      </w:pPr>
      <w:r w:rsidRPr="002A2343">
        <w:rPr>
          <w:rFonts w:ascii="Times New Roman" w:hAnsi="Times New Roman" w:cs="Times New Roman"/>
          <w:sz w:val="40"/>
          <w:szCs w:val="40"/>
        </w:rPr>
        <w:br w:type="page"/>
      </w:r>
    </w:p>
    <w:p w14:paraId="45A45221" w14:textId="77777777" w:rsidR="0092650A" w:rsidRPr="002A2343" w:rsidRDefault="00000000">
      <w:pPr>
        <w:pStyle w:val="Heading1"/>
        <w:rPr>
          <w:rFonts w:ascii="Times New Roman" w:hAnsi="Times New Roman" w:cs="Times New Roman"/>
        </w:rPr>
      </w:pPr>
      <w:r w:rsidRPr="002A2343">
        <w:rPr>
          <w:rFonts w:ascii="Times New Roman" w:hAnsi="Times New Roman" w:cs="Times New Roman"/>
        </w:rPr>
        <w:lastRenderedPageBreak/>
        <w:t>1. Introduction and Objectives</w:t>
      </w:r>
    </w:p>
    <w:p w14:paraId="4BEF8F3C"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Football results appear unpredictable, yet over thousands of matches clear patterns emerge. This project applies the full data-analytics lifecycle to historical international football data with two goals: to predict the outcome of a match (Win, Draw, or Loss from the home team’s perspective), and — more importantly — to explain why one team beats another. Rather than treating the final score as the input, the project derives measurable pre-match indicators of team strength and uses interpretable models to quantify how each contributes to the result.</w:t>
      </w:r>
    </w:p>
    <w:p w14:paraId="4056C312"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b/>
          <w:bCs/>
        </w:rPr>
        <w:t xml:space="preserve">Research questions: </w:t>
      </w:r>
      <w:r w:rsidRPr="002A2343">
        <w:rPr>
          <w:rFonts w:ascii="Times New Roman" w:hAnsi="Times New Roman" w:cs="Times New Roman"/>
        </w:rPr>
        <w:t>(1) Can match outcomes be predicted more accurately than a naive baseline? (2) Which factors explain a win, and how much does each contribute? (3) Do these factors generalise to World Cup matches, including the 2022 tournament?</w:t>
      </w:r>
    </w:p>
    <w:p w14:paraId="5B864DF2" w14:textId="77777777" w:rsidR="0092650A" w:rsidRPr="002A2343" w:rsidRDefault="00000000">
      <w:pPr>
        <w:pStyle w:val="Heading1"/>
        <w:rPr>
          <w:rFonts w:ascii="Times New Roman" w:hAnsi="Times New Roman" w:cs="Times New Roman"/>
        </w:rPr>
      </w:pPr>
      <w:r w:rsidRPr="002A2343">
        <w:rPr>
          <w:rFonts w:ascii="Times New Roman" w:hAnsi="Times New Roman" w:cs="Times New Roman"/>
        </w:rPr>
        <w:t>2. Dataset Description and Source</w:t>
      </w:r>
    </w:p>
    <w:p w14:paraId="4A6936E6"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The primary dataset is International Football Results (1872–2026), obtained from Kaggle as a continuously updated snapshot. It contains 49,490 international matches with the columns: date, home team, away team, home goals, away goals, and a flag indicating whether the home team played at its own stadium. This exceeds the minimum requirement of 500 rows and 8 columns once the engineered features are added. Three supporting files (World Cup matches 1930–2018, tournament summaries, and the 2022 fixture list) provide additional context and a live prediction target.</w:t>
      </w:r>
    </w:p>
    <w:p w14:paraId="416BE44E"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b/>
          <w:bCs/>
        </w:rPr>
        <w:t xml:space="preserve">Outcome balance: </w:t>
      </w:r>
      <w:r w:rsidRPr="002A2343">
        <w:rPr>
          <w:rFonts w:ascii="Times New Roman" w:hAnsi="Times New Roman" w:cs="Times New Roman"/>
        </w:rPr>
        <w:t>home wins 49.0% (24,253), away wins 28.3% (13,981), and draws 22.7% (11,255). The home team wins more often, which sets the baseline any model must beat.</w:t>
      </w:r>
    </w:p>
    <w:p w14:paraId="63225A80" w14:textId="77777777" w:rsidR="0092650A" w:rsidRPr="002A2343" w:rsidRDefault="00000000">
      <w:pPr>
        <w:pStyle w:val="Heading1"/>
        <w:rPr>
          <w:rFonts w:ascii="Times New Roman" w:hAnsi="Times New Roman" w:cs="Times New Roman"/>
        </w:rPr>
      </w:pPr>
      <w:r w:rsidRPr="002A2343">
        <w:rPr>
          <w:rFonts w:ascii="Times New Roman" w:hAnsi="Times New Roman" w:cs="Times New Roman"/>
        </w:rPr>
        <w:t>3. Methodology</w:t>
      </w:r>
    </w:p>
    <w:p w14:paraId="37F6DC5B" w14:textId="77777777" w:rsidR="0092650A" w:rsidRPr="002A2343" w:rsidRDefault="00000000">
      <w:pPr>
        <w:pStyle w:val="Heading2"/>
        <w:rPr>
          <w:rFonts w:ascii="Times New Roman" w:hAnsi="Times New Roman" w:cs="Times New Roman"/>
        </w:rPr>
      </w:pPr>
      <w:r w:rsidRPr="002A2343">
        <w:rPr>
          <w:rFonts w:ascii="Times New Roman" w:hAnsi="Times New Roman" w:cs="Times New Roman"/>
        </w:rPr>
        <w:t>3.1 Data Cleaning and Preparation</w:t>
      </w:r>
    </w:p>
    <w:p w14:paraId="14707291"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The date column was converted to a datetime type and the records sorted chronologically — an essential step, because all engineered features must use only information available before each match. Exact duplicate fixtures (identical date, teams, and score) were removed. Extreme scorelines such as 31–0 were inspected and retained, as they are genuine historical results rather than data-entry errors; the modelling uses smoothed strength features that are robust to isolated blow-outs. The target variable was derived by comparing home and away goals and encoded as Win, Draw, or Loss.</w:t>
      </w:r>
    </w:p>
    <w:p w14:paraId="38E7E08B" w14:textId="77777777" w:rsidR="0092650A" w:rsidRPr="002A2343" w:rsidRDefault="00000000">
      <w:pPr>
        <w:pStyle w:val="Heading2"/>
        <w:rPr>
          <w:rFonts w:ascii="Times New Roman" w:hAnsi="Times New Roman" w:cs="Times New Roman"/>
        </w:rPr>
      </w:pPr>
      <w:r w:rsidRPr="002A2343">
        <w:rPr>
          <w:rFonts w:ascii="Times New Roman" w:hAnsi="Times New Roman" w:cs="Times New Roman"/>
        </w:rPr>
        <w:t>3.2 Exploratory Data Analysis</w:t>
      </w:r>
    </w:p>
    <w:p w14:paraId="329E135B"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Descriptive statistics show a mean of 2.94 total goals per match (median 3, standard deviation 2.10). Crucially, the home win rate is 50.7% when a team actually plays at its own stadium but only 44.2% at a neutral venue — the first quantitative evidence that home advantage is real but modest. Figure 1 shows the overall outcome distribution.</w:t>
      </w:r>
    </w:p>
    <w:p w14:paraId="7559623F"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lastRenderedPageBreak/>
        <w:drawing>
          <wp:inline distT="0" distB="0" distL="0" distR="0" wp14:anchorId="7AC790EE" wp14:editId="550FFA36">
            <wp:extent cx="3143250" cy="2095500"/>
            <wp:effectExtent l="0" t="0" r="0" b="0"/>
            <wp:docPr id="1" name="fig1" descr="Distribution of match outcomes from the home team’s perspective." title="Distribution of match outcomes from the home team’s persp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2095500"/>
                    </a:xfrm>
                    <a:prstGeom prst="rect">
                      <a:avLst/>
                    </a:prstGeom>
                  </pic:spPr>
                </pic:pic>
              </a:graphicData>
            </a:graphic>
          </wp:inline>
        </w:drawing>
      </w:r>
    </w:p>
    <w:p w14:paraId="011B0313"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Figure 1. Distribution of match outcomes from the home team’s perspective.</w:t>
      </w:r>
    </w:p>
    <w:p w14:paraId="0451B0DF"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Two further views complete the EDA picture before feature engineering begins. Figure 2 shows the distribution of goals: both home goals and total goals per match are right-skewed (skewness = 1.49, excess kurtosis = 5.90 for total goals), with most matches settling in the 1–4 goal range and a long tail of high-scoring outliers — consistent with the 31–0-style blow-outs discussed above being genuine rather than data-entry errors.</w:t>
      </w:r>
    </w:p>
    <w:p w14:paraId="4CFAFAA2"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drawing>
          <wp:inline distT="0" distB="0" distL="0" distR="0" wp14:anchorId="53D63E48" wp14:editId="530B43A9">
            <wp:extent cx="5486400" cy="1778234"/>
            <wp:effectExtent l="0" t="0" r="0" b="0"/>
            <wp:docPr id="3104" name="fig2_goal_dist" descr="Distribution of home goals and total goals per match." title="Distribution of home goals and total goals per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1778234"/>
                    </a:xfrm>
                    <a:prstGeom prst="rect">
                      <a:avLst/>
                    </a:prstGeom>
                  </pic:spPr>
                </pic:pic>
              </a:graphicData>
            </a:graphic>
          </wp:inline>
        </w:drawing>
      </w:r>
    </w:p>
    <w:p w14:paraId="536DF0D9" w14:textId="77777777" w:rsidR="0092650A" w:rsidRPr="002A2343" w:rsidRDefault="00000000">
      <w:pPr>
        <w:spacing w:before="120" w:after="160"/>
        <w:jc w:val="center"/>
        <w:rPr>
          <w:rFonts w:ascii="Times New Roman" w:hAnsi="Times New Roman" w:cs="Times New Roman"/>
        </w:rPr>
      </w:pPr>
      <w:r w:rsidRPr="002A2343">
        <w:rPr>
          <w:rFonts w:ascii="Times New Roman" w:hAnsi="Times New Roman" w:cs="Times New Roman"/>
          <w:i/>
          <w:iCs/>
          <w:color w:val="555555"/>
          <w:sz w:val="18"/>
          <w:szCs w:val="18"/>
        </w:rPr>
        <w:t>Figure 2. Distribution of home goals and total goals per match — both right-skewed.</w:t>
      </w:r>
    </w:p>
    <w:p w14:paraId="3BBDA72C"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Figure 3 steps back to tournament level: total goals scored and matches played at each FIFA World Cup from 1930 to 2018 have both trended upward, reflecting the tournament's expansion (from 13 teams in 1930 to 32 by 1998) rather than a change in how attacking the sport itself has become. This motivates treating Exp_Diff (matches played) as a genuine strength signal rather than noise.</w:t>
      </w:r>
    </w:p>
    <w:p w14:paraId="75C323DD"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lastRenderedPageBreak/>
        <w:drawing>
          <wp:inline distT="0" distB="0" distL="0" distR="0" wp14:anchorId="1052A89A" wp14:editId="003EDC9E">
            <wp:extent cx="5486400" cy="2139797"/>
            <wp:effectExtent l="0" t="0" r="0" b="0"/>
            <wp:docPr id="3808" name="fig3_wc_trend" descr="World Cup goals and matches played per tournament, 1930-2018." title="World Cup goals and matches played per tournament, 1930-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39797"/>
                    </a:xfrm>
                    <a:prstGeom prst="rect">
                      <a:avLst/>
                    </a:prstGeom>
                  </pic:spPr>
                </pic:pic>
              </a:graphicData>
            </a:graphic>
          </wp:inline>
        </w:drawing>
      </w:r>
    </w:p>
    <w:p w14:paraId="5A43D02B" w14:textId="77777777" w:rsidR="0092650A" w:rsidRPr="002A2343" w:rsidRDefault="00000000">
      <w:pPr>
        <w:spacing w:before="120" w:after="160"/>
        <w:jc w:val="center"/>
        <w:rPr>
          <w:rFonts w:ascii="Times New Roman" w:hAnsi="Times New Roman" w:cs="Times New Roman"/>
        </w:rPr>
      </w:pPr>
      <w:r w:rsidRPr="002A2343">
        <w:rPr>
          <w:rFonts w:ascii="Times New Roman" w:hAnsi="Times New Roman" w:cs="Times New Roman"/>
          <w:i/>
          <w:iCs/>
          <w:color w:val="555555"/>
          <w:sz w:val="18"/>
          <w:szCs w:val="18"/>
        </w:rPr>
        <w:t>Figure 3. World Cup goals and matches played per tournament, 1930–2018 — both track tournament expansion.</w:t>
      </w:r>
    </w:p>
    <w:p w14:paraId="7695D743"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A correlation analysis (Figure 4) was used both to understand relationships and to support feature selection. The engineered Elo-difference feature shows by far the strongest correlation with the result, confirming team strength as the leading signal.</w:t>
      </w:r>
    </w:p>
    <w:p w14:paraId="6D7016C7"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drawing>
          <wp:inline distT="0" distB="0" distL="0" distR="0" wp14:anchorId="60FEDE47" wp14:editId="2CA242E1">
            <wp:extent cx="3714750" cy="2886075"/>
            <wp:effectExtent l="0" t="0" r="0" b="0"/>
            <wp:docPr id="258088747" name="fig2" descr="Correlation heatmap of engineered features against the match result." title="Correlation heatmap of engineered features against the match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14750" cy="2886075"/>
                    </a:xfrm>
                    <a:prstGeom prst="rect">
                      <a:avLst/>
                    </a:prstGeom>
                  </pic:spPr>
                </pic:pic>
              </a:graphicData>
            </a:graphic>
          </wp:inline>
        </w:drawing>
      </w:r>
    </w:p>
    <w:p w14:paraId="0026D0CD"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Figure 4. Correlation heatmap of engineered features against the match result.</w:t>
      </w:r>
    </w:p>
    <w:p w14:paraId="6C24E95D" w14:textId="77777777" w:rsidR="0092650A" w:rsidRPr="002A2343" w:rsidRDefault="00000000">
      <w:pPr>
        <w:pStyle w:val="Heading2"/>
        <w:rPr>
          <w:rFonts w:ascii="Times New Roman" w:hAnsi="Times New Roman" w:cs="Times New Roman"/>
        </w:rPr>
      </w:pPr>
      <w:r w:rsidRPr="002A2343">
        <w:rPr>
          <w:rFonts w:ascii="Times New Roman" w:hAnsi="Times New Roman" w:cs="Times New Roman"/>
        </w:rPr>
        <w:t>3.3 Feature Engineering — Turning Outcomes into Explanations</w:t>
      </w:r>
    </w:p>
    <w:p w14:paraId="5F198B06"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This stage is the core of the project and the basis for explaining why teams win. Raw columns only record what happened; the following pre-match features were derived to capture each team’s strength before kick-off, all computed chronologically and time-shifted to prevent data leakage:</w:t>
      </w:r>
    </w:p>
    <w:p w14:paraId="71F73F2A"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Elo rating (Home_Elo, Away_Elo, Elo_Diff): a running skill score updated after every match, weighted by the goal margin. The pre-match Elo difference is the single clearest measure of relative strength.</w:t>
      </w:r>
    </w:p>
    <w:p w14:paraId="353F343B"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Recent form (Form_Pts_Diff, Form_GF_Diff, Form_GA_Diff): the difference in average points, goals scored, and goals conceded over each team’s previous five matches.</w:t>
      </w:r>
    </w:p>
    <w:p w14:paraId="54C38C94"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Head-to-head (H2H_Diff): the home team’s historical win rate against this specific opponent.</w:t>
      </w:r>
    </w:p>
    <w:p w14:paraId="6CF4FF1A"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lastRenderedPageBreak/>
        <w:t>Home advantage (Home_Adv) and experience (Exp_Diff): playing at one’s own stadium, and the number of matches played to date.</w:t>
      </w:r>
    </w:p>
    <w:p w14:paraId="0DEB7385"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Rest days (Rest_Days_Diff): days since each team's previous match, capped at 60 to separate short-term fatigue from simple inactivity between tournaments — fixture congestion is a factor a person would instinctively weigh when guessing a result.</w:t>
      </w:r>
    </w:p>
    <w:p w14:paraId="1CBB7E86"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Match importance (MatchType_*, one-hot encoded): whether the match is a Friendly, Qualifier, Other Competition, or World Cup fixture, capturing that teams try harder — and often field stronger line-ups — when a result actually matters.</w:t>
      </w:r>
    </w:p>
    <w:p w14:paraId="5FF19FE9"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Figure 5 illustrates why these features work: teams that go on to win enter the match with a clearly higher Elo than their opponent, while losses cluster below zero.</w:t>
      </w:r>
    </w:p>
    <w:p w14:paraId="5390A78D"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drawing>
          <wp:inline distT="0" distB="0" distL="0" distR="0" wp14:anchorId="67EC7998" wp14:editId="76019D79">
            <wp:extent cx="3619500" cy="2066925"/>
            <wp:effectExtent l="0" t="0" r="0" b="0"/>
            <wp:docPr id="1209897194" name="fig3" descr="Pre-match Elo difference by outcome — winners start stronger." title="Pre-match Elo difference by outcome — winners start stro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066925"/>
                    </a:xfrm>
                    <a:prstGeom prst="rect">
                      <a:avLst/>
                    </a:prstGeom>
                  </pic:spPr>
                </pic:pic>
              </a:graphicData>
            </a:graphic>
          </wp:inline>
        </w:drawing>
      </w:r>
    </w:p>
    <w:p w14:paraId="6F78BA5D"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Figure 5. Pre-match Elo difference by outcome — winners start stronger.</w:t>
      </w:r>
    </w:p>
    <w:p w14:paraId="05928271" w14:textId="77777777" w:rsidR="0092650A" w:rsidRPr="002A2343" w:rsidRDefault="00000000">
      <w:pPr>
        <w:pStyle w:val="Heading2"/>
        <w:rPr>
          <w:rFonts w:ascii="Times New Roman" w:hAnsi="Times New Roman" w:cs="Times New Roman"/>
        </w:rPr>
      </w:pPr>
      <w:r w:rsidRPr="002A2343">
        <w:rPr>
          <w:rFonts w:ascii="Times New Roman" w:hAnsi="Times New Roman" w:cs="Times New Roman"/>
        </w:rPr>
        <w:t>3.4 Modelling Approach</w:t>
      </w:r>
    </w:p>
    <w:p w14:paraId="60A2D7E1"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Because the data is time-ordered, a chronological 80/20 split was used (first 80% of matches for training, most recent 20% for testing) rather than a random split. A random split would let the model train on future matches and test on past ones, leaking information and inflating the score. Three models were compared: Logistic Regression (transparent coefficients), Random Forest (tuned with GridSearchCV over a time-series cross-validation), and Gradient Boosting. The baseline to beat is always predicting the most common class, Win (47.6%).</w:t>
      </w:r>
    </w:p>
    <w:p w14:paraId="6240C0BB" w14:textId="77777777" w:rsidR="0092650A" w:rsidRPr="002A2343" w:rsidRDefault="00000000">
      <w:pPr>
        <w:pStyle w:val="Heading1"/>
        <w:pageBreakBefore/>
        <w:rPr>
          <w:rFonts w:ascii="Times New Roman" w:hAnsi="Times New Roman" w:cs="Times New Roman"/>
        </w:rPr>
      </w:pPr>
      <w:r w:rsidRPr="002A2343">
        <w:rPr>
          <w:rFonts w:ascii="Times New Roman" w:hAnsi="Times New Roman" w:cs="Times New Roman"/>
        </w:rPr>
        <w:lastRenderedPageBreak/>
        <w:t>4. Results and Evaluation</w:t>
      </w:r>
    </w:p>
    <w:p w14:paraId="692EB8A6" w14:textId="77777777" w:rsidR="0092650A" w:rsidRPr="002A2343" w:rsidRDefault="00000000">
      <w:pPr>
        <w:pStyle w:val="Heading2"/>
        <w:rPr>
          <w:rFonts w:ascii="Times New Roman" w:hAnsi="Times New Roman" w:cs="Times New Roman"/>
        </w:rPr>
      </w:pPr>
      <w:r w:rsidRPr="002A2343">
        <w:rPr>
          <w:rFonts w:ascii="Times New Roman" w:hAnsi="Times New Roman" w:cs="Times New Roman"/>
        </w:rPr>
        <w:t>4.1 Model Performance</w:t>
      </w:r>
    </w:p>
    <w:p w14:paraId="406E95AA"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All three models clearly beat the baseline, reaching just under 60% accuracy on the held-out test set (Table 1). Accuracy and macro-F1 are close across all three models, within 0.006 of each other on macro-F1 (Logistic Regression 0.441, Random Forest 0.443, Gradient Boosting 0.447) — a gap this small on a single time-ordered train/test split is not a meaningful difference in predictive power. Random Forest is selected as the model to carry forward: rather than chasing the marginal, likely-noisy macro-F1 edge Gradient Boosting shows here, Random Forest directly exposes feature importances, which this report relies on in Section 4.2 to explain why teams win, and it is the same model deployed in the accompanying Streamlit dashboard.</w:t>
      </w:r>
    </w:p>
    <w:p w14:paraId="6D708108" w14:textId="77777777" w:rsidR="0092650A" w:rsidRPr="002A2343" w:rsidRDefault="00000000">
      <w:pPr>
        <w:spacing w:after="40"/>
        <w:jc w:val="center"/>
        <w:rPr>
          <w:rFonts w:ascii="Times New Roman" w:hAnsi="Times New Roman" w:cs="Times New Roman"/>
        </w:rPr>
      </w:pPr>
      <w:r w:rsidRPr="002A2343">
        <w:rPr>
          <w:rFonts w:ascii="Times New Roman" w:hAnsi="Times New Roman" w:cs="Times New Roman"/>
          <w:i/>
          <w:iCs/>
          <w:color w:val="555555"/>
          <w:sz w:val="18"/>
          <w:szCs w:val="18"/>
        </w:rPr>
        <w:t>Table 1. Test-set performance of the three models versus the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90"/>
        <w:gridCol w:w="1590"/>
        <w:gridCol w:w="1590"/>
        <w:gridCol w:w="1590"/>
      </w:tblGrid>
      <w:tr w:rsidR="0092650A" w:rsidRPr="002A2343" w14:paraId="097C54D5"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0130DCA" w14:textId="77777777" w:rsidR="0092650A" w:rsidRPr="002A2343" w:rsidRDefault="00000000">
            <w:pPr>
              <w:rPr>
                <w:rFonts w:ascii="Times New Roman" w:hAnsi="Times New Roman" w:cs="Times New Roman"/>
              </w:rPr>
            </w:pPr>
            <w:r w:rsidRPr="002A2343">
              <w:rPr>
                <w:rFonts w:ascii="Times New Roman" w:hAnsi="Times New Roman" w:cs="Times New Roman"/>
                <w:b/>
                <w:bCs/>
                <w:color w:val="FFFFFF"/>
                <w:sz w:val="19"/>
                <w:szCs w:val="19"/>
              </w:rPr>
              <w:t>Model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604B7DA"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Accuracy</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E0E0C40"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Precision</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BF8B5DD"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Recall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F65A51E"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F1 (macro)</w:t>
            </w:r>
          </w:p>
        </w:tc>
      </w:tr>
      <w:tr w:rsidR="0092650A" w:rsidRPr="002A2343" w14:paraId="5DE2B240"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1CF1632"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Baseline (predict Win)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933317"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0.476</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A1BB24E"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94269C"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599F1EB"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w:t>
            </w:r>
          </w:p>
        </w:tc>
      </w:tr>
      <w:tr w:rsidR="0092650A" w:rsidRPr="002A2343" w14:paraId="71F04649"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DD3CBB"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Logistic Regression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E6FB8F6"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0.598</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F1785D8"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0.539</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4766618"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0.497</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D376A28"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0.441</w:t>
            </w:r>
          </w:p>
        </w:tc>
      </w:tr>
      <w:tr w:rsidR="0092650A" w:rsidRPr="002A2343" w14:paraId="709C90DD"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9C562D8" w14:textId="77777777" w:rsidR="0092650A" w:rsidRPr="002A2343" w:rsidRDefault="00000000">
            <w:pPr>
              <w:rPr>
                <w:rFonts w:ascii="Times New Roman" w:hAnsi="Times New Roman" w:cs="Times New Roman"/>
              </w:rPr>
            </w:pPr>
            <w:r w:rsidRPr="002A2343">
              <w:rPr>
                <w:rFonts w:ascii="Times New Roman" w:hAnsi="Times New Roman" w:cs="Times New Roman"/>
                <w:b/>
                <w:bCs/>
                <w:color w:val="000000"/>
                <w:sz w:val="19"/>
                <w:szCs w:val="19"/>
              </w:rPr>
              <w:t>Random Forest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46DC9EB"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0.597</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2E800DB"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0.510</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975AC26"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0.499</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259F86F"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000000"/>
                <w:sz w:val="19"/>
                <w:szCs w:val="19"/>
              </w:rPr>
              <w:t>0.443</w:t>
            </w:r>
          </w:p>
        </w:tc>
      </w:tr>
      <w:tr w:rsidR="0092650A" w:rsidRPr="002A2343" w14:paraId="3B02484A" w14:textId="77777777">
        <w:tc>
          <w:tcPr>
            <w:tcW w:w="30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416E669F"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Gradient Boosting</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4363B0D0"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0.594</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6282E73D"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0.483</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52EDFA88"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0.497</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0EB1186A"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0.447</w:t>
            </w:r>
          </w:p>
        </w:tc>
      </w:tr>
    </w:tbl>
    <w:p w14:paraId="619C180C" w14:textId="77777777" w:rsidR="0092650A" w:rsidRPr="002A2343" w:rsidRDefault="0092650A">
      <w:pPr>
        <w:spacing w:after="120"/>
        <w:rPr>
          <w:rFonts w:ascii="Times New Roman" w:hAnsi="Times New Roman" w:cs="Times New Roman"/>
        </w:rPr>
      </w:pPr>
    </w:p>
    <w:p w14:paraId="3C53640B"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Figure 6 compares accuracy against the baseline, and Figure 7 shows the confusion matrix of the best model.</w:t>
      </w:r>
    </w:p>
    <w:p w14:paraId="6631D21C"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drawing>
          <wp:inline distT="0" distB="0" distL="0" distR="0" wp14:anchorId="37032252" wp14:editId="0E4864E8">
            <wp:extent cx="4095750" cy="1790700"/>
            <wp:effectExtent l="0" t="0" r="0" b="0"/>
            <wp:docPr id="2128236176" name="fig4" descr="Model accuracy compared with the baseline (red line)." title="Model accuracy compared with the baseline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1790700"/>
                    </a:xfrm>
                    <a:prstGeom prst="rect">
                      <a:avLst/>
                    </a:prstGeom>
                  </pic:spPr>
                </pic:pic>
              </a:graphicData>
            </a:graphic>
          </wp:inline>
        </w:drawing>
      </w:r>
    </w:p>
    <w:p w14:paraId="20566D64"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Figure 6. Model accuracy compared with the baseline (red line).</w:t>
      </w:r>
    </w:p>
    <w:p w14:paraId="2EAF5A6A"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lastRenderedPageBreak/>
        <w:drawing>
          <wp:inline distT="0" distB="0" distL="0" distR="0" wp14:anchorId="0A53C5D7" wp14:editId="4AD98D5D">
            <wp:extent cx="2857500" cy="2333625"/>
            <wp:effectExtent l="0" t="0" r="0" b="0"/>
            <wp:docPr id="414778569" name="fig5" descr="Confusion matrix of the best model (Random Forest)." title="Confusion matrix of the best model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857500" cy="2333625"/>
                    </a:xfrm>
                    <a:prstGeom prst="rect">
                      <a:avLst/>
                    </a:prstGeom>
                  </pic:spPr>
                </pic:pic>
              </a:graphicData>
            </a:graphic>
          </wp:inline>
        </w:drawing>
      </w:r>
    </w:p>
    <w:p w14:paraId="182C5A1E"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Figure 7. Confusion matrix of the best model (Random Forest).</w:t>
      </w:r>
    </w:p>
    <w:p w14:paraId="788A00EB"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The confusion matrix confirms a known difficulty: wins and losses are predicted reasonably well, but draws are frequently misclassified — draws are inherently close to random and are the main source of error.</w:t>
      </w:r>
    </w:p>
    <w:p w14:paraId="61523746"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Table 2 breaks this down by class for Random Forest and shows the difficulty precisely: Win and Loss are recovered reasonably well (recall 0.88 and 0.61), but Draw recall is only 0.01 — the model correctly identifies roughly 23 of the 2,297 draws in the test set, and effectively predicts “not a draw” almost every time. This is a class-imbalance effect: draws are the minority and hardest-to-separate class, so a classifier optimising for overall accuracy learns that rarely predicting Draw is the lower-risk strategy. Macro-F1 (0.443) rather than accuracy (0.596) is therefore the more honest headline metric for this task, since accuracy alone hides this collapse.</w:t>
      </w:r>
    </w:p>
    <w:p w14:paraId="2A1F54AB"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Table 2. Per-class precision, recall, and F1-score for the Random Forest model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320"/>
        <w:gridCol w:w="2320"/>
        <w:gridCol w:w="2320"/>
      </w:tblGrid>
      <w:tr w:rsidR="0092650A" w:rsidRPr="002A2343" w14:paraId="597427E3" w14:textId="77777777">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EFFEE9A" w14:textId="77777777" w:rsidR="0092650A" w:rsidRPr="002A2343" w:rsidRDefault="00000000">
            <w:pPr>
              <w:rPr>
                <w:rFonts w:ascii="Times New Roman" w:hAnsi="Times New Roman" w:cs="Times New Roman"/>
              </w:rPr>
            </w:pPr>
            <w:r w:rsidRPr="002A2343">
              <w:rPr>
                <w:rFonts w:ascii="Times New Roman" w:hAnsi="Times New Roman" w:cs="Times New Roman"/>
                <w:b/>
                <w:bCs/>
                <w:color w:val="FFFFFF"/>
                <w:sz w:val="19"/>
                <w:szCs w:val="19"/>
              </w:rPr>
              <w:t>Class</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B71528E"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Precision</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578C570"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Recall</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53B27D6"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F1-score</w:t>
            </w:r>
          </w:p>
        </w:tc>
      </w:tr>
      <w:tr w:rsidR="0092650A" w:rsidRPr="002A2343" w14:paraId="70F6A855"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82B25ED"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Win</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A5AD59C"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0.61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C17359"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0.88</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730794"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0.72</w:t>
            </w:r>
          </w:p>
        </w:tc>
      </w:tr>
      <w:tr w:rsidR="0092650A" w:rsidRPr="002A2343" w14:paraId="136A7505"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1A4B08D"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Loss</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615EBCF"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0.58</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2045530"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0.61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B450F58"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0.59</w:t>
            </w:r>
          </w:p>
        </w:tc>
      </w:tr>
      <w:tr w:rsidR="0092650A" w:rsidRPr="002A2343" w14:paraId="7306C042"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617F051" w14:textId="77777777" w:rsidR="0092650A" w:rsidRPr="002A2343" w:rsidRDefault="00000000">
            <w:pPr>
              <w:rPr>
                <w:rFonts w:ascii="Times New Roman" w:hAnsi="Times New Roman" w:cs="Times New Roman"/>
              </w:rPr>
            </w:pPr>
            <w:r w:rsidRPr="002A2343">
              <w:rPr>
                <w:rFonts w:ascii="Times New Roman" w:hAnsi="Times New Roman" w:cs="Times New Roman"/>
                <w:b/>
                <w:bCs/>
                <w:color w:val="000000"/>
                <w:sz w:val="19"/>
                <w:szCs w:val="19"/>
              </w:rPr>
              <w:t>Draw</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F6B59C7"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000000"/>
                <w:sz w:val="19"/>
                <w:szCs w:val="19"/>
              </w:rPr>
              <w:t>0.34</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45FCEA2"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000000"/>
                <w:sz w:val="19"/>
                <w:szCs w:val="19"/>
              </w:rPr>
              <w:t>0.01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A86DE31"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000000"/>
                <w:sz w:val="19"/>
                <w:szCs w:val="19"/>
              </w:rPr>
              <w:t>0.02</w:t>
            </w:r>
          </w:p>
        </w:tc>
      </w:tr>
    </w:tbl>
    <w:p w14:paraId="650AA899"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Three remedies were identified for future iterations, in order of expected impact: (1) class-weighted training (class_weight="balanced" in scikit-learn), which penalises misclassifying the minority class more heavily; (2) resampling the training set (e.g. SMOTE oversampling of draws, or undersampling Win/Loss); and (3) an ordinal reframing of the target (Loss &lt; Draw &lt; Win), which respects the natural ordering between outcomes instead of treating the three classes as unrelated categories. None of these were applied in the current model so that the reported metrics reflect an untuned baseline; trying (1) first would be the cheapest next step, since it requires no resampling and no change to the feature set.</w:t>
      </w:r>
    </w:p>
    <w:p w14:paraId="64F2E2E7" w14:textId="77777777" w:rsidR="0092650A" w:rsidRPr="002A2343" w:rsidRDefault="00000000">
      <w:pPr>
        <w:pStyle w:val="Heading2"/>
        <w:rPr>
          <w:rFonts w:ascii="Times New Roman" w:hAnsi="Times New Roman" w:cs="Times New Roman"/>
        </w:rPr>
      </w:pPr>
      <w:r w:rsidRPr="002A2343">
        <w:rPr>
          <w:rFonts w:ascii="Times New Roman" w:hAnsi="Times New Roman" w:cs="Times New Roman"/>
        </w:rPr>
        <w:t>4.2 Why Teams Win</w:t>
      </w:r>
    </w:p>
    <w:p w14:paraId="54F79248"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The central question is answered three ways. Random Forest feature importance (Figure 8) shows the Elo strength gap dominates all other factors. Logistic Regression coefficients (Figure 9) add direction: a larger Elo difference, home advantage, and stronger attacking form raise win probability, while a higher opponent rating and more goals recently conceded lower it. A model-agnostic permutation test confirmed the same ranking, with Elo difference far ahead of every other feature.</w:t>
      </w:r>
    </w:p>
    <w:p w14:paraId="38B3B03E"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lastRenderedPageBreak/>
        <w:drawing>
          <wp:inline distT="0" distB="0" distL="0" distR="0" wp14:anchorId="171114D6" wp14:editId="05590660">
            <wp:extent cx="4095750" cy="2047875"/>
            <wp:effectExtent l="0" t="0" r="0" b="0"/>
            <wp:docPr id="2107094910" name="fig6" descr="Random Forest feature importance — the strength gap dominates." title="Random Forest feature importance — the strength gap domin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95750" cy="2047875"/>
                    </a:xfrm>
                    <a:prstGeom prst="rect">
                      <a:avLst/>
                    </a:prstGeom>
                  </pic:spPr>
                </pic:pic>
              </a:graphicData>
            </a:graphic>
          </wp:inline>
        </w:drawing>
      </w:r>
    </w:p>
    <w:p w14:paraId="607D1D6D"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Figure 8. Random Forest feature importance — the strength gap dominates.</w:t>
      </w:r>
    </w:p>
    <w:p w14:paraId="3ADED5CF" w14:textId="77777777" w:rsidR="0092650A" w:rsidRPr="002A2343" w:rsidRDefault="00000000">
      <w:pPr>
        <w:spacing w:before="120" w:after="40"/>
        <w:jc w:val="center"/>
        <w:rPr>
          <w:rFonts w:ascii="Times New Roman" w:hAnsi="Times New Roman" w:cs="Times New Roman"/>
        </w:rPr>
      </w:pPr>
      <w:r w:rsidRPr="002A2343">
        <w:rPr>
          <w:rFonts w:ascii="Times New Roman" w:hAnsi="Times New Roman" w:cs="Times New Roman"/>
          <w:noProof/>
        </w:rPr>
        <w:drawing>
          <wp:inline distT="0" distB="0" distL="0" distR="0" wp14:anchorId="43563FEE" wp14:editId="5EDF69FF">
            <wp:extent cx="4095750" cy="2047875"/>
            <wp:effectExtent l="0" t="0" r="0" b="0"/>
            <wp:docPr id="1988212364" name="fig7" descr="Logistic Regression coefficients — direction of each effect on winning." title="Logistic Regression coefficients — direction of each effect on wi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2047875"/>
                    </a:xfrm>
                    <a:prstGeom prst="rect">
                      <a:avLst/>
                    </a:prstGeom>
                  </pic:spPr>
                </pic:pic>
              </a:graphicData>
            </a:graphic>
          </wp:inline>
        </w:drawing>
      </w:r>
    </w:p>
    <w:p w14:paraId="11BD3FAB"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Figure 9. Logistic Regression coefficients — direction of each effect on winning.</w:t>
      </w:r>
    </w:p>
    <w:p w14:paraId="244031F4"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b/>
          <w:bCs/>
        </w:rPr>
        <w:t>Interpretation. Four findings stand out. First, relative team strength (Elo difference) is overwhelmingly the most important factor — football is largely a contest of accumulated quality. Second, defence matters more than attack: a lower recent goals-conceded average raises win probability more than a higher goals-scored average. Third, home advantage is real but small, consistent with the EDA finding, and is easily outweighed by a large strength gap. Fourth, two features added on the lecturer's suggestion — match importance and rest days — contribute a small but real amount on top of Elo: qualifiers and World Cup matches produce more decisive results than friendlies, while rest days showed a negligible effect once Elo and form were already in the model, likely because international fixtures are usually weeks apart rather than days apart, unlike club football.</w:t>
      </w:r>
    </w:p>
    <w:p w14:paraId="4DC92546" w14:textId="77777777" w:rsidR="0092650A" w:rsidRPr="002A2343" w:rsidRDefault="00000000">
      <w:pPr>
        <w:pStyle w:val="Heading2"/>
        <w:rPr>
          <w:rFonts w:ascii="Times New Roman" w:hAnsi="Times New Roman" w:cs="Times New Roman"/>
        </w:rPr>
      </w:pPr>
      <w:r w:rsidRPr="002A2343">
        <w:rPr>
          <w:rFonts w:ascii="Times New Roman" w:hAnsi="Times New Roman" w:cs="Times New Roman"/>
        </w:rPr>
        <w:t>4.3 Application: 2022 World Cup</w:t>
      </w:r>
    </w:p>
    <w:p w14:paraId="38A7BAC8"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 xml:space="preserve">As a live demonstration, the trained Random Forest was applied to the 2022 group-stage fixtures, which carry no scores in the source data. Table 3 shows a sample of the output. One caveat applies: because the underlying dataset is a continuously-updated snapshot running through July 2026, each team's Elo and recent-form values reflect their current strength rather than their strength at the actual time of the 2022 tournament. This means the exercise demonstrates that the pipeline runs end-to-end on unseen fixtures — it is not a true retrospective forecast of the 2022 tournament, since a real pre-2022 forecast would need </w:t>
      </w:r>
      <w:r w:rsidRPr="002A2343">
        <w:rPr>
          <w:rFonts w:ascii="Times New Roman" w:hAnsi="Times New Roman" w:cs="Times New Roman"/>
        </w:rPr>
        <w:lastRenderedPageBreak/>
        <w:t>Elo and form computed only from matches before November 2022. A faithful backtest is listed under Future Work.</w:t>
      </w:r>
    </w:p>
    <w:p w14:paraId="15B56805" w14:textId="77777777" w:rsidR="0092650A" w:rsidRPr="002A2343" w:rsidRDefault="00000000">
      <w:pPr>
        <w:spacing w:after="160"/>
        <w:jc w:val="center"/>
        <w:rPr>
          <w:rFonts w:ascii="Times New Roman" w:hAnsi="Times New Roman" w:cs="Times New Roman"/>
        </w:rPr>
      </w:pPr>
      <w:r w:rsidRPr="002A2343">
        <w:rPr>
          <w:rFonts w:ascii="Times New Roman" w:hAnsi="Times New Roman" w:cs="Times New Roman"/>
          <w:i/>
          <w:iCs/>
          <w:color w:val="555555"/>
          <w:sz w:val="18"/>
          <w:szCs w:val="18"/>
        </w:rPr>
        <w:t>Table 3. Sample Random Forest predictions for 2022 World Cup group-stage fixtures.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rsidRPr="002A2343" w14:paraId="042F96A6" w14:textId="77777777">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B6447BA" w14:textId="77777777" w:rsidR="0092650A" w:rsidRPr="002A2343" w:rsidRDefault="00000000">
            <w:pPr>
              <w:rPr>
                <w:rFonts w:ascii="Times New Roman" w:hAnsi="Times New Roman" w:cs="Times New Roman"/>
              </w:rPr>
            </w:pPr>
            <w:r w:rsidRPr="002A2343">
              <w:rPr>
                <w:rFonts w:ascii="Times New Roman" w:hAnsi="Times New Roman" w:cs="Times New Roman"/>
                <w:b/>
                <w:bCs/>
                <w:color w:val="FFFFFF"/>
                <w:sz w:val="19"/>
                <w:szCs w:val="19"/>
              </w:rPr>
              <w:t>Home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120A874" w14:textId="77777777" w:rsidR="0092650A" w:rsidRPr="002A2343" w:rsidRDefault="00000000">
            <w:pPr>
              <w:rPr>
                <w:rFonts w:ascii="Times New Roman" w:hAnsi="Times New Roman" w:cs="Times New Roman"/>
              </w:rPr>
            </w:pPr>
            <w:r w:rsidRPr="002A2343">
              <w:rPr>
                <w:rFonts w:ascii="Times New Roman" w:hAnsi="Times New Roman" w:cs="Times New Roman"/>
                <w:b/>
                <w:bCs/>
                <w:color w:val="FFFFFF"/>
                <w:sz w:val="19"/>
                <w:szCs w:val="19"/>
              </w:rPr>
              <w:t>Away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CEB239C"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Prediction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3C1FDBA"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Home win prob.</w:t>
            </w:r>
          </w:p>
        </w:tc>
      </w:tr>
      <w:tr w:rsidR="0092650A" w:rsidRPr="002A2343" w14:paraId="5E6163E6"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0B31C1F"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Argentina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24AA57B"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Saudi Arabia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4BB3FD1"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E8C107C"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0.825</w:t>
            </w:r>
          </w:p>
        </w:tc>
      </w:tr>
      <w:tr w:rsidR="0092650A" w:rsidRPr="002A2343" w14:paraId="44D1D475"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9425C53"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Qatar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DCB9F6"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Ecuador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BD6FC17"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Away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191E383"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0.135</w:t>
            </w:r>
          </w:p>
        </w:tc>
      </w:tr>
      <w:tr w:rsidR="0092650A" w:rsidRPr="002A2343" w14:paraId="56BDA243"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0D06B5D"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Germany</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B3A6FB"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Japan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51996A5"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1B4F8E8"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0.488</w:t>
            </w:r>
          </w:p>
        </w:tc>
      </w:tr>
      <w:tr w:rsidR="0092650A" w:rsidRPr="002A2343" w14:paraId="32F31180"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406D734"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Morocco</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57AD130"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Croatia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3B7FC78"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45D8639"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0.480</w:t>
            </w:r>
          </w:p>
        </w:tc>
      </w:tr>
    </w:tbl>
    <w:p w14:paraId="31F31858" w14:textId="77777777" w:rsidR="0092650A" w:rsidRPr="002A2343" w:rsidRDefault="00000000">
      <w:pPr>
        <w:pStyle w:val="Heading2"/>
        <w:rPr>
          <w:rFonts w:ascii="Times New Roman" w:hAnsi="Times New Roman" w:cs="Times New Roman"/>
        </w:rPr>
      </w:pPr>
      <w:r w:rsidRPr="002A2343">
        <w:rPr>
          <w:rFonts w:ascii="Times New Roman" w:hAnsi="Times New Roman" w:cs="Times New Roman"/>
        </w:rPr>
        <w:t>4.4 Live Application: 2026 World Cup Semifinal</w:t>
      </w:r>
    </w:p>
    <w:p w14:paraId="55F9AE53"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Section 4.3 showed the pipeline running end-to-end, but flagged that predicting 2022 fixtures with a 2026-dated snapshot is not a genuine forecast. This section closes that gap with a true out-of-sample test: on 12 July 2026, the France v Spain 2026 FIFA World Cup semifinal (kick-off 14 July, AT&amp;T Stadium, Dallas) was a confirmed fixture with an unknown outcome. Feeding it through the trained Random Forest below is therefore a real, verifiable prediction — not a retrospective one — since neither team's result was known at the time of writing.</w:t>
      </w:r>
    </w:p>
    <w:p w14:paraId="66A1957E" w14:textId="77777777" w:rsidR="0092650A" w:rsidRPr="002A2343" w:rsidRDefault="00000000">
      <w:pPr>
        <w:spacing w:before="120" w:after="160"/>
        <w:jc w:val="center"/>
        <w:rPr>
          <w:rFonts w:ascii="Times New Roman" w:hAnsi="Times New Roman" w:cs="Times New Roman"/>
        </w:rPr>
      </w:pPr>
      <w:r w:rsidRPr="002A2343">
        <w:rPr>
          <w:rFonts w:ascii="Times New Roman" w:hAnsi="Times New Roman" w:cs="Times New Roman"/>
          <w:i/>
          <w:iCs/>
          <w:color w:val="555555"/>
          <w:sz w:val="18"/>
          <w:szCs w:val="18"/>
        </w:rPr>
        <w:t>Table 4. Pre-match indicators for France v Spain, as of the 2 July 2026 data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rsidRPr="002A2343" w14:paraId="2226FD4E" w14:textId="77777777">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FF0FFD4" w14:textId="77777777" w:rsidR="0092650A" w:rsidRPr="002A2343" w:rsidRDefault="00000000">
            <w:pPr>
              <w:rPr>
                <w:rFonts w:ascii="Times New Roman" w:hAnsi="Times New Roman" w:cs="Times New Roman"/>
              </w:rPr>
            </w:pPr>
            <w:r w:rsidRPr="002A2343">
              <w:rPr>
                <w:rFonts w:ascii="Times New Roman" w:hAnsi="Times New Roman" w:cs="Times New Roman"/>
                <w:b/>
                <w:bCs/>
                <w:color w:val="FFFFFF"/>
                <w:sz w:val="19"/>
                <w:szCs w:val="19"/>
              </w:rPr>
              <w:t>Metric</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B9347ED"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France</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C3B15C2"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Spain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1BE71F8"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Source</w:t>
            </w:r>
          </w:p>
        </w:tc>
      </w:tr>
      <w:tr w:rsidR="0092650A" w:rsidRPr="002A2343" w14:paraId="44C56C85"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CD05461"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Elo rating</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F41EC2B"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2087.0</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0E3325"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2127.9</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ECCE04A"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model.py, trained on full snapshot</w:t>
            </w:r>
          </w:p>
        </w:tc>
      </w:tr>
      <w:tr w:rsidR="0092650A" w:rsidRPr="002A2343" w14:paraId="3F82314D"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4E10B0C"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Last 5 results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71B84F"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W W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DB86639"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W D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36630A"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chronological, most recent last</w:t>
            </w:r>
          </w:p>
        </w:tc>
      </w:tr>
      <w:tr w:rsidR="0092650A" w:rsidRPr="002A2343" w14:paraId="22E3D418"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AA396F"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Head-to-head (38 meetings)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D69FE5D"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13 wins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650019E"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18 wins (7 draws)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65AC27B"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historical, all competitions</w:t>
            </w:r>
          </w:p>
        </w:tc>
      </w:tr>
    </w:tbl>
    <w:p w14:paraId="194C71FD"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The model gives Spain the edge (Table 5): a narrow 41-point Elo advantage and a stronger head-to-head record (18 wins to 13 across 38 meetings) outweigh France's marginally better recent form. Because a World Cup knockout match cannot end in a draw, the 25.7% draw probability is also redistributed proportionally between the two teams to give an approximate advancement probability.</w:t>
      </w:r>
    </w:p>
    <w:p w14:paraId="24BDC583" w14:textId="77777777" w:rsidR="0092650A" w:rsidRPr="002A2343" w:rsidRDefault="00000000">
      <w:pPr>
        <w:spacing w:before="120" w:after="160"/>
        <w:jc w:val="center"/>
        <w:rPr>
          <w:rFonts w:ascii="Times New Roman" w:hAnsi="Times New Roman" w:cs="Times New Roman"/>
        </w:rPr>
      </w:pPr>
      <w:r w:rsidRPr="002A2343">
        <w:rPr>
          <w:rFonts w:ascii="Times New Roman" w:hAnsi="Times New Roman" w:cs="Times New Roman"/>
          <w:i/>
          <w:iCs/>
          <w:color w:val="555555"/>
          <w:sz w:val="18"/>
          <w:szCs w:val="18"/>
        </w:rPr>
        <w:t>Table 5. Model output for France v Spain, with a simple draw-redistributed advancement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92650A" w:rsidRPr="002A2343" w14:paraId="140ACA1A" w14:textId="77777777">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F4EFAD3" w14:textId="77777777" w:rsidR="0092650A" w:rsidRPr="002A2343" w:rsidRDefault="00000000">
            <w:pPr>
              <w:rPr>
                <w:rFonts w:ascii="Times New Roman" w:hAnsi="Times New Roman" w:cs="Times New Roman"/>
              </w:rPr>
            </w:pPr>
            <w:r w:rsidRPr="002A2343">
              <w:rPr>
                <w:rFonts w:ascii="Times New Roman" w:hAnsi="Times New Roman" w:cs="Times New Roman"/>
                <w:b/>
                <w:bCs/>
                <w:color w:val="FFFFFF"/>
                <w:sz w:val="19"/>
                <w:szCs w:val="19"/>
              </w:rPr>
              <w:t>Outcome</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3F92807"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Raw model probability</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88150EF"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FFFFFF"/>
                <w:sz w:val="19"/>
                <w:szCs w:val="19"/>
              </w:rPr>
              <w:t>P(advances)¹</w:t>
            </w:r>
          </w:p>
        </w:tc>
      </w:tr>
      <w:tr w:rsidR="0092650A" w:rsidRPr="002A2343" w14:paraId="412AB7B4"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CF802DC"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France win</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192B3B2"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32.6%</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404A496"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43.9%</w:t>
            </w:r>
          </w:p>
        </w:tc>
      </w:tr>
      <w:tr w:rsidR="0092650A" w:rsidRPr="002A2343" w14:paraId="7734309C"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ED64A7C" w14:textId="77777777" w:rsidR="0092650A" w:rsidRPr="002A2343" w:rsidRDefault="00000000">
            <w:pPr>
              <w:rPr>
                <w:rFonts w:ascii="Times New Roman" w:hAnsi="Times New Roman" w:cs="Times New Roman"/>
              </w:rPr>
            </w:pPr>
            <w:r w:rsidRPr="002A2343">
              <w:rPr>
                <w:rFonts w:ascii="Times New Roman" w:hAnsi="Times New Roman" w:cs="Times New Roman"/>
                <w:color w:val="000000"/>
                <w:sz w:val="19"/>
                <w:szCs w:val="19"/>
              </w:rPr>
              <w:t>Draw (n/a in knockout)</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DF44593"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25.7%</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F1DD9AA" w14:textId="77777777" w:rsidR="0092650A" w:rsidRPr="002A2343" w:rsidRDefault="00000000">
            <w:pPr>
              <w:jc w:val="center"/>
              <w:rPr>
                <w:rFonts w:ascii="Times New Roman" w:hAnsi="Times New Roman" w:cs="Times New Roman"/>
              </w:rPr>
            </w:pPr>
            <w:r w:rsidRPr="002A2343">
              <w:rPr>
                <w:rFonts w:ascii="Times New Roman" w:hAnsi="Times New Roman" w:cs="Times New Roman"/>
                <w:color w:val="000000"/>
                <w:sz w:val="19"/>
                <w:szCs w:val="19"/>
              </w:rPr>
              <w:t>—</w:t>
            </w:r>
          </w:p>
        </w:tc>
      </w:tr>
      <w:tr w:rsidR="0092650A" w:rsidRPr="002A2343" w14:paraId="595F70FB" w14:textId="77777777">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2839D96B" w14:textId="77777777" w:rsidR="0092650A" w:rsidRPr="002A2343" w:rsidRDefault="00000000">
            <w:pPr>
              <w:rPr>
                <w:rFonts w:ascii="Times New Roman" w:hAnsi="Times New Roman" w:cs="Times New Roman"/>
              </w:rPr>
            </w:pPr>
            <w:r w:rsidRPr="002A2343">
              <w:rPr>
                <w:rFonts w:ascii="Times New Roman" w:hAnsi="Times New Roman" w:cs="Times New Roman"/>
                <w:b/>
                <w:bCs/>
                <w:color w:val="000000"/>
                <w:sz w:val="19"/>
                <w:szCs w:val="19"/>
              </w:rPr>
              <w:t>Spain win</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4E56A461"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000000"/>
                <w:sz w:val="19"/>
                <w:szCs w:val="19"/>
              </w:rPr>
              <w:t>41.6%</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6CECF427" w14:textId="77777777" w:rsidR="0092650A" w:rsidRPr="002A2343" w:rsidRDefault="00000000">
            <w:pPr>
              <w:jc w:val="center"/>
              <w:rPr>
                <w:rFonts w:ascii="Times New Roman" w:hAnsi="Times New Roman" w:cs="Times New Roman"/>
              </w:rPr>
            </w:pPr>
            <w:r w:rsidRPr="002A2343">
              <w:rPr>
                <w:rFonts w:ascii="Times New Roman" w:hAnsi="Times New Roman" w:cs="Times New Roman"/>
                <w:b/>
                <w:bCs/>
                <w:color w:val="000000"/>
                <w:sz w:val="19"/>
                <w:szCs w:val="19"/>
              </w:rPr>
              <w:t>56.1%</w:t>
            </w:r>
          </w:p>
        </w:tc>
      </w:tr>
    </w:tbl>
    <w:p w14:paraId="3D7E2DEB"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¹ Redistributes P(Draw) between Win and Loss in proportion to their relative odds; a naive approximation, not a calibrated knockout-match model.</w:t>
      </w:r>
    </w:p>
    <w:p w14:paraId="2CB456F4"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rPr>
        <w:t>Limitation carried over honestly: the underlying snapshot is dated 2 July 2026, so Elo and form here do not yet reflect the Round of 16 and Quarter-final results played between 4–11 July. This makes the prediction slightly stale rather than leaked — the opposite failure mode from Section 4.3, and one that resolves itself automatically as the dataset is refreshed. The France v Spain result, once known, will be added as a worked accuracy check in the final submission.</w:t>
      </w:r>
    </w:p>
    <w:p w14:paraId="1D78AC87" w14:textId="77777777" w:rsidR="00F96EAF" w:rsidRPr="002A2343" w:rsidRDefault="00000000">
      <w:pPr>
        <w:rPr>
          <w:rFonts w:ascii="Times New Roman" w:hAnsi="Times New Roman" w:cs="Times New Roman"/>
        </w:rPr>
      </w:pPr>
      <w:r w:rsidRPr="002A2343">
        <w:rPr>
          <w:rFonts w:ascii="Times New Roman" w:hAnsi="Times New Roman" w:cs="Times New Roman"/>
        </w:rPr>
        <w:lastRenderedPageBreak/>
        <w:t>Update (16 July 2026): this match has since been played. Spain won 2–0 (Oyarzabal, penalty, 22'; Porro, 58'), advancing to the final. The model's raw prediction favoured Spain — “Loss” from France's home-team perspective was the modal class at 36.9%, narrowly ahead of a France win at 36.6% — so the directional call was correct, even though the three-way probabilities were close to even. This is treated as one data point, not proof the model is highly accurate; the honest reading is that a near-coin-flip call happened to land correctly.</w:t>
      </w:r>
    </w:p>
    <w:p w14:paraId="397F815F" w14:textId="77777777" w:rsidR="0092650A" w:rsidRPr="002A2343" w:rsidRDefault="00000000">
      <w:pPr>
        <w:pStyle w:val="Heading1"/>
        <w:rPr>
          <w:rFonts w:ascii="Times New Roman" w:hAnsi="Times New Roman" w:cs="Times New Roman"/>
        </w:rPr>
      </w:pPr>
      <w:r w:rsidRPr="002A2343">
        <w:rPr>
          <w:rFonts w:ascii="Times New Roman" w:hAnsi="Times New Roman" w:cs="Times New Roman"/>
        </w:rPr>
        <w:t>5. Insights and Recommendations</w:t>
      </w:r>
    </w:p>
    <w:p w14:paraId="6B92FA8B" w14:textId="77777777" w:rsidR="0092650A" w:rsidRPr="002A2343" w:rsidRDefault="00000000">
      <w:pPr>
        <w:pStyle w:val="ListParagraph"/>
        <w:numPr>
          <w:ilvl w:val="0"/>
          <w:numId w:val="3"/>
        </w:numPr>
        <w:spacing w:after="80"/>
        <w:rPr>
          <w:rFonts w:ascii="Times New Roman" w:hAnsi="Times New Roman" w:cs="Times New Roman"/>
        </w:rPr>
      </w:pPr>
      <w:r w:rsidRPr="002A2343">
        <w:rPr>
          <w:rFonts w:ascii="Times New Roman" w:hAnsi="Times New Roman" w:cs="Times New Roman"/>
          <w:b/>
          <w:bCs/>
        </w:rPr>
        <w:t xml:space="preserve">For analysts and pundits: </w:t>
      </w:r>
      <w:r w:rsidRPr="002A2343">
        <w:rPr>
          <w:rFonts w:ascii="Times New Roman" w:hAnsi="Times New Roman" w:cs="Times New Roman"/>
        </w:rPr>
        <w:t>Rank teams by a properly updated Elo rating before a tournament. It captures most of what predicts results and is far simpler than tracking dozens of separate statistics.</w:t>
      </w:r>
    </w:p>
    <w:p w14:paraId="00A288F5" w14:textId="77777777" w:rsidR="0092650A" w:rsidRPr="002A2343" w:rsidRDefault="00000000">
      <w:pPr>
        <w:pStyle w:val="ListParagraph"/>
        <w:numPr>
          <w:ilvl w:val="0"/>
          <w:numId w:val="3"/>
        </w:numPr>
        <w:spacing w:after="80"/>
        <w:rPr>
          <w:rFonts w:ascii="Times New Roman" w:hAnsi="Times New Roman" w:cs="Times New Roman"/>
        </w:rPr>
      </w:pPr>
      <w:r w:rsidRPr="002A2343">
        <w:rPr>
          <w:rFonts w:ascii="Times New Roman" w:hAnsi="Times New Roman" w:cs="Times New Roman"/>
          <w:b/>
          <w:bCs/>
        </w:rPr>
        <w:t xml:space="preserve">For team management: </w:t>
      </w:r>
      <w:r w:rsidRPr="002A2343">
        <w:rPr>
          <w:rFonts w:ascii="Times New Roman" w:hAnsi="Times New Roman" w:cs="Times New Roman"/>
        </w:rPr>
        <w:t>Prioritise defensive consistency. The data shows reducing goals conceded yields a larger gain in win probability than increasing goals scored, so clean-sheet form is the higher-value target going into major tournaments.</w:t>
      </w:r>
    </w:p>
    <w:p w14:paraId="766CC630" w14:textId="77777777" w:rsidR="0092650A" w:rsidRPr="002A2343" w:rsidRDefault="00000000">
      <w:pPr>
        <w:pStyle w:val="ListParagraph"/>
        <w:numPr>
          <w:ilvl w:val="0"/>
          <w:numId w:val="3"/>
        </w:numPr>
        <w:spacing w:after="80"/>
        <w:rPr>
          <w:rFonts w:ascii="Times New Roman" w:hAnsi="Times New Roman" w:cs="Times New Roman"/>
        </w:rPr>
      </w:pPr>
      <w:r w:rsidRPr="002A2343">
        <w:rPr>
          <w:rFonts w:ascii="Times New Roman" w:hAnsi="Times New Roman" w:cs="Times New Roman"/>
          <w:b/>
          <w:bCs/>
        </w:rPr>
        <w:t xml:space="preserve">For organisers and hosts: </w:t>
      </w:r>
      <w:r w:rsidRPr="002A2343">
        <w:rPr>
          <w:rFonts w:ascii="Times New Roman" w:hAnsi="Times New Roman" w:cs="Times New Roman"/>
        </w:rPr>
        <w:t>Do not over-rely on host-nation advantage. Home advantage is genuine but modest and will not overturn a large strength gap, so it should not drive major planning or expectations.</w:t>
      </w:r>
    </w:p>
    <w:p w14:paraId="45FC1F91" w14:textId="77777777" w:rsidR="0092650A" w:rsidRPr="002A2343" w:rsidRDefault="00000000">
      <w:pPr>
        <w:pStyle w:val="Heading1"/>
        <w:rPr>
          <w:rFonts w:ascii="Times New Roman" w:hAnsi="Times New Roman" w:cs="Times New Roman"/>
        </w:rPr>
      </w:pPr>
      <w:r w:rsidRPr="002A2343">
        <w:rPr>
          <w:rFonts w:ascii="Times New Roman" w:hAnsi="Times New Roman" w:cs="Times New Roman"/>
        </w:rPr>
        <w:t>6. Limitations and Future Work</w:t>
      </w:r>
    </w:p>
    <w:p w14:paraId="7453D3EA"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Draws are hard to predict. The models under-predict draws, a well-known challenge in football modelling; an ordered model (Loss &lt; Draw &lt; Win) or a goals-based Poisson model may help.</w:t>
      </w:r>
    </w:p>
    <w:p w14:paraId="4EF5BAD5"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No squad-level data. Injuries, line-ups, and red cards are absent from the dataset and would likely improve accuracy.</w:t>
      </w:r>
    </w:p>
    <w:p w14:paraId="440D5CEA"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Elo cold start. Newer national teams begin at the default rating of 1500, slightly mis-rating their earliest matches.</w:t>
      </w:r>
    </w:p>
    <w:p w14:paraId="4FB24730"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The clearest remaining gap is player-level data (e.g. FIFA ratings, market values, injury and suspension news), since squad quality is not captured by any current feature. Match importance and rest days have already been tested and added (Section 3.3), and an interactive dashboard with per-match feature contributions has already been built (accompanying Streamlit app) — both were originally future-work candidates and are now part of this submission.</w:t>
      </w:r>
    </w:p>
    <w:p w14:paraId="0561CF89" w14:textId="77777777" w:rsidR="0092650A" w:rsidRPr="002A2343" w:rsidRDefault="00000000">
      <w:pPr>
        <w:pStyle w:val="ListParagraph"/>
        <w:numPr>
          <w:ilvl w:val="0"/>
          <w:numId w:val="2"/>
        </w:numPr>
        <w:spacing w:after="80"/>
        <w:rPr>
          <w:rFonts w:ascii="Times New Roman" w:hAnsi="Times New Roman" w:cs="Times New Roman"/>
        </w:rPr>
      </w:pPr>
      <w:r w:rsidRPr="002A2343">
        <w:rPr>
          <w:rFonts w:ascii="Times New Roman" w:hAnsi="Times New Roman" w:cs="Times New Roman"/>
        </w:rPr>
        <w:t>A faithful 2022 backtest: rebuild Elo and form using only matches before November 2022, so Section 4.3’s predictions reflect pre-tournament strength rather than strength inflated by four subsequent years of results.</w:t>
      </w:r>
    </w:p>
    <w:p w14:paraId="14637F1B" w14:textId="77777777" w:rsidR="0092650A" w:rsidRPr="002A2343" w:rsidRDefault="00000000">
      <w:pPr>
        <w:pStyle w:val="Heading1"/>
        <w:rPr>
          <w:rFonts w:ascii="Times New Roman" w:hAnsi="Times New Roman" w:cs="Times New Roman"/>
        </w:rPr>
      </w:pPr>
      <w:r w:rsidRPr="002A2343">
        <w:rPr>
          <w:rFonts w:ascii="Times New Roman" w:hAnsi="Times New Roman" w:cs="Times New Roman"/>
        </w:rPr>
        <w:t>7. References</w:t>
      </w:r>
    </w:p>
    <w:p w14:paraId="480FFB76"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sz w:val="19"/>
          <w:szCs w:val="19"/>
        </w:rPr>
        <w:t>Kaggle. International Football Results from 1872 (martj42), continuously updated — snapshot used covers matches through July 2026. https://www.kaggle.com/datasets/martj42/international-football-results-from-1872-to-2017</w:t>
      </w:r>
    </w:p>
    <w:p w14:paraId="282EB0BD"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sz w:val="19"/>
          <w:szCs w:val="19"/>
        </w:rPr>
        <w:t>Elo, A. E. (1978). The Rating of Chessplayers, Past and Present. Arco Publishing.</w:t>
      </w:r>
    </w:p>
    <w:p w14:paraId="223F1875" w14:textId="77777777" w:rsidR="0092650A" w:rsidRPr="002A2343" w:rsidRDefault="00000000">
      <w:pPr>
        <w:spacing w:after="120" w:line="276" w:lineRule="auto"/>
        <w:rPr>
          <w:rFonts w:ascii="Times New Roman" w:hAnsi="Times New Roman" w:cs="Times New Roman"/>
        </w:rPr>
      </w:pPr>
      <w:r w:rsidRPr="002A2343">
        <w:rPr>
          <w:rFonts w:ascii="Times New Roman" w:hAnsi="Times New Roman" w:cs="Times New Roman"/>
          <w:sz w:val="19"/>
          <w:szCs w:val="19"/>
        </w:rPr>
        <w:t>Pedregosa, F. et al. (2011). Scikit-learn: Machine Learning in Python. Journal of Machine Learning Research, 12, 2825–2830.</w:t>
      </w:r>
    </w:p>
    <w:sectPr w:rsidR="0092650A" w:rsidRPr="002A2343">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AD309" w14:textId="77777777" w:rsidR="009302A0" w:rsidRDefault="009302A0">
      <w:r>
        <w:separator/>
      </w:r>
    </w:p>
  </w:endnote>
  <w:endnote w:type="continuationSeparator" w:id="0">
    <w:p w14:paraId="60F816B1" w14:textId="77777777" w:rsidR="009302A0" w:rsidRDefault="009302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C94A" w14:textId="77777777" w:rsidR="0092650A"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A0AC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1A96E" w14:textId="77777777" w:rsidR="009302A0" w:rsidRDefault="009302A0">
      <w:r>
        <w:separator/>
      </w:r>
    </w:p>
  </w:footnote>
  <w:footnote w:type="continuationSeparator" w:id="0">
    <w:p w14:paraId="46BF40A7" w14:textId="77777777" w:rsidR="009302A0" w:rsidRDefault="009302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7E58CE"/>
    <w:multiLevelType w:val="hybridMultilevel"/>
    <w:tmpl w:val="6ECCE952"/>
    <w:lvl w:ilvl="0" w:tplc="7974E6DE">
      <w:start w:val="1"/>
      <w:numFmt w:val="bullet"/>
      <w:lvlText w:val="●"/>
      <w:lvlJc w:val="left"/>
      <w:pPr>
        <w:ind w:left="720" w:hanging="360"/>
      </w:pPr>
    </w:lvl>
    <w:lvl w:ilvl="1" w:tplc="7F929F86">
      <w:start w:val="1"/>
      <w:numFmt w:val="bullet"/>
      <w:lvlText w:val="○"/>
      <w:lvlJc w:val="left"/>
      <w:pPr>
        <w:ind w:left="1440" w:hanging="360"/>
      </w:pPr>
    </w:lvl>
    <w:lvl w:ilvl="2" w:tplc="71203F94">
      <w:start w:val="1"/>
      <w:numFmt w:val="bullet"/>
      <w:lvlText w:val="■"/>
      <w:lvlJc w:val="left"/>
      <w:pPr>
        <w:ind w:left="2160" w:hanging="360"/>
      </w:pPr>
    </w:lvl>
    <w:lvl w:ilvl="3" w:tplc="8A902172">
      <w:start w:val="1"/>
      <w:numFmt w:val="bullet"/>
      <w:lvlText w:val="●"/>
      <w:lvlJc w:val="left"/>
      <w:pPr>
        <w:ind w:left="2880" w:hanging="360"/>
      </w:pPr>
    </w:lvl>
    <w:lvl w:ilvl="4" w:tplc="725C98BA">
      <w:start w:val="1"/>
      <w:numFmt w:val="bullet"/>
      <w:lvlText w:val="○"/>
      <w:lvlJc w:val="left"/>
      <w:pPr>
        <w:ind w:left="3600" w:hanging="360"/>
      </w:pPr>
    </w:lvl>
    <w:lvl w:ilvl="5" w:tplc="86D4D82A">
      <w:start w:val="1"/>
      <w:numFmt w:val="bullet"/>
      <w:lvlText w:val="■"/>
      <w:lvlJc w:val="left"/>
      <w:pPr>
        <w:ind w:left="4320" w:hanging="360"/>
      </w:pPr>
    </w:lvl>
    <w:lvl w:ilvl="6" w:tplc="7018A506">
      <w:start w:val="1"/>
      <w:numFmt w:val="bullet"/>
      <w:lvlText w:val="●"/>
      <w:lvlJc w:val="left"/>
      <w:pPr>
        <w:ind w:left="5040" w:hanging="360"/>
      </w:pPr>
    </w:lvl>
    <w:lvl w:ilvl="7" w:tplc="6982F6A0">
      <w:start w:val="1"/>
      <w:numFmt w:val="bullet"/>
      <w:lvlText w:val="●"/>
      <w:lvlJc w:val="left"/>
      <w:pPr>
        <w:ind w:left="5760" w:hanging="360"/>
      </w:pPr>
    </w:lvl>
    <w:lvl w:ilvl="8" w:tplc="E56AA0D2">
      <w:start w:val="1"/>
      <w:numFmt w:val="bullet"/>
      <w:lvlText w:val="●"/>
      <w:lvlJc w:val="left"/>
      <w:pPr>
        <w:ind w:left="6480" w:hanging="360"/>
      </w:pPr>
    </w:lvl>
  </w:abstractNum>
  <w:abstractNum w:abstractNumId="1" w15:restartNumberingAfterBreak="0">
    <w:nsid w:val="47C91DEB"/>
    <w:multiLevelType w:val="hybridMultilevel"/>
    <w:tmpl w:val="CC520B02"/>
    <w:lvl w:ilvl="0" w:tplc="C330ACB6">
      <w:start w:val="1"/>
      <w:numFmt w:val="bullet"/>
      <w:lvlText w:val="•"/>
      <w:lvlJc w:val="left"/>
      <w:pPr>
        <w:ind w:left="540" w:hanging="270"/>
      </w:pPr>
    </w:lvl>
    <w:lvl w:ilvl="1" w:tplc="2E827CDA">
      <w:numFmt w:val="decimal"/>
      <w:lvlText w:val=""/>
      <w:lvlJc w:val="left"/>
    </w:lvl>
    <w:lvl w:ilvl="2" w:tplc="485EC67C">
      <w:numFmt w:val="decimal"/>
      <w:lvlText w:val=""/>
      <w:lvlJc w:val="left"/>
    </w:lvl>
    <w:lvl w:ilvl="3" w:tplc="32C8795A">
      <w:numFmt w:val="decimal"/>
      <w:lvlText w:val=""/>
      <w:lvlJc w:val="left"/>
    </w:lvl>
    <w:lvl w:ilvl="4" w:tplc="1004C90C">
      <w:numFmt w:val="decimal"/>
      <w:lvlText w:val=""/>
      <w:lvlJc w:val="left"/>
    </w:lvl>
    <w:lvl w:ilvl="5" w:tplc="5FD4B6CA">
      <w:numFmt w:val="decimal"/>
      <w:lvlText w:val=""/>
      <w:lvlJc w:val="left"/>
    </w:lvl>
    <w:lvl w:ilvl="6" w:tplc="149CE24A">
      <w:numFmt w:val="decimal"/>
      <w:lvlText w:val=""/>
      <w:lvlJc w:val="left"/>
    </w:lvl>
    <w:lvl w:ilvl="7" w:tplc="DAA2FA08">
      <w:numFmt w:val="decimal"/>
      <w:lvlText w:val=""/>
      <w:lvlJc w:val="left"/>
    </w:lvl>
    <w:lvl w:ilvl="8" w:tplc="AF44548C">
      <w:numFmt w:val="decimal"/>
      <w:lvlText w:val=""/>
      <w:lvlJc w:val="left"/>
    </w:lvl>
  </w:abstractNum>
  <w:abstractNum w:abstractNumId="2" w15:restartNumberingAfterBreak="0">
    <w:nsid w:val="533F713D"/>
    <w:multiLevelType w:val="hybridMultilevel"/>
    <w:tmpl w:val="07602B14"/>
    <w:lvl w:ilvl="0" w:tplc="16F2AC96">
      <w:start w:val="1"/>
      <w:numFmt w:val="decimal"/>
      <w:lvlText w:val="%1."/>
      <w:lvlJc w:val="left"/>
      <w:pPr>
        <w:ind w:left="540" w:hanging="270"/>
      </w:pPr>
    </w:lvl>
    <w:lvl w:ilvl="1" w:tplc="A91C0DAA">
      <w:numFmt w:val="decimal"/>
      <w:lvlText w:val=""/>
      <w:lvlJc w:val="left"/>
    </w:lvl>
    <w:lvl w:ilvl="2" w:tplc="7286EDB2">
      <w:numFmt w:val="decimal"/>
      <w:lvlText w:val=""/>
      <w:lvlJc w:val="left"/>
    </w:lvl>
    <w:lvl w:ilvl="3" w:tplc="8D9E7902">
      <w:numFmt w:val="decimal"/>
      <w:lvlText w:val=""/>
      <w:lvlJc w:val="left"/>
    </w:lvl>
    <w:lvl w:ilvl="4" w:tplc="DB920E5C">
      <w:numFmt w:val="decimal"/>
      <w:lvlText w:val=""/>
      <w:lvlJc w:val="left"/>
    </w:lvl>
    <w:lvl w:ilvl="5" w:tplc="4468CEF8">
      <w:numFmt w:val="decimal"/>
      <w:lvlText w:val=""/>
      <w:lvlJc w:val="left"/>
    </w:lvl>
    <w:lvl w:ilvl="6" w:tplc="7A26969E">
      <w:numFmt w:val="decimal"/>
      <w:lvlText w:val=""/>
      <w:lvlJc w:val="left"/>
    </w:lvl>
    <w:lvl w:ilvl="7" w:tplc="C6C288EE">
      <w:numFmt w:val="decimal"/>
      <w:lvlText w:val=""/>
      <w:lvlJc w:val="left"/>
    </w:lvl>
    <w:lvl w:ilvl="8" w:tplc="B2CE28E6">
      <w:numFmt w:val="decimal"/>
      <w:lvlText w:val=""/>
      <w:lvlJc w:val="left"/>
    </w:lvl>
  </w:abstractNum>
  <w:num w:numId="1" w16cid:durableId="33777425">
    <w:abstractNumId w:val="0"/>
    <w:lvlOverride w:ilvl="0">
      <w:startOverride w:val="1"/>
    </w:lvlOverride>
  </w:num>
  <w:num w:numId="2" w16cid:durableId="1945382312">
    <w:abstractNumId w:val="1"/>
    <w:lvlOverride w:ilvl="0">
      <w:startOverride w:val="1"/>
    </w:lvlOverride>
  </w:num>
  <w:num w:numId="3" w16cid:durableId="7542783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50A"/>
    <w:rsid w:val="001A0AC7"/>
    <w:rsid w:val="002A2343"/>
    <w:rsid w:val="005472E8"/>
    <w:rsid w:val="0092650A"/>
    <w:rsid w:val="009302A0"/>
    <w:rsid w:val="00BD5E22"/>
    <w:rsid w:val="00D30BE3"/>
    <w:rsid w:val="00F96E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FE200"/>
  <w15:docId w15:val="{2888B15C-E9E4-4CBF-8EBB-2020DD58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rFonts w:eastAsia="Arial"/>
      <w:b/>
      <w:bCs/>
      <w:color w:val="1F4E79"/>
      <w:sz w:val="28"/>
      <w:szCs w:val="28"/>
    </w:rPr>
  </w:style>
  <w:style w:type="paragraph" w:styleId="Heading2">
    <w:name w:val="heading 2"/>
    <w:uiPriority w:val="9"/>
    <w:unhideWhenUsed/>
    <w:qFormat/>
    <w:pPr>
      <w:spacing w:before="180" w:after="100"/>
      <w:outlineLvl w:val="1"/>
    </w:pPr>
    <w:rPr>
      <w:rFonts w:eastAsia="Arial"/>
      <w:b/>
      <w:bCs/>
      <w:color w:val="2E549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10</Pages>
  <Words>2540</Words>
  <Characters>14483</Characters>
  <Application>Microsoft Office Word</Application>
  <DocSecurity>0</DocSecurity>
  <Lines>120</Lines>
  <Paragraphs>33</Paragraphs>
  <ScaleCrop>false</ScaleCrop>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WEN XIN</cp:lastModifiedBy>
  <cp:revision>3</cp:revision>
  <dcterms:created xsi:type="dcterms:W3CDTF">2026-06-19T16:19:00Z</dcterms:created>
  <dcterms:modified xsi:type="dcterms:W3CDTF">2026-07-17T04:07:00Z</dcterms:modified>
</cp:coreProperties>
</file>