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Project Review: FIFA World Cup Match Outcome Prediction</w:t>
      </w:r>
    </w:p>
    <w:p>
      <w:pPr>
        <w:spacing w:after="40"/>
      </w:pPr>
      <w:r>
        <w:rPr>
          <w:i/>
          <w:iCs/>
          <w:color w:val="595959"/>
          <w:sz w:val="22"/>
          <w:szCs w:val="22"/>
        </w:rPr>
        <w:t xml:space="preserve">BDS23114 Data Analytics — Rubric-mapped critique of the notebook, dashboard, report, and repository</w:t>
      </w:r>
    </w:p>
    <w:p>
      <w:pPr>
        <w:spacing w:after="300"/>
      </w:pPr>
      <w:r>
        <w:rPr>
          <w:color w:val="595959"/>
          <w:sz w:val="20"/>
          <w:szCs w:val="20"/>
        </w:rPr>
        <w:t xml:space="preserve">Reviewed 16 July 2026, one day before the 17 July submission deadline.</w:t>
      </w:r>
    </w:p>
    <w:p>
      <w:pPr>
        <w:pStyle w:val="Heading1"/>
        <w:spacing w:after="160" w:before="360"/>
      </w:pPr>
      <w:r>
        <w:t xml:space="preserve">Bottom Line</w:t>
      </w:r>
    </w:p>
    <w:p>
      <w:pPr>
        <w:spacing w:after="160" w:line="276"/>
      </w:pPr>
      <w:r>
        <w:t xml:space="preserve">This is a strong project. The notebook demonstrates real command of the material: leakage-safe, chronologically-shifted feature engineering (Elo, rolling form, head-to-head, rest days, match importance), a justified chronological train/test split, three compared models, permutation importance as a model-agnostic check, and a live out-of-sample forecast (France v Spain). The report and dashboard are professional and internally cross-referenced. On craftsmanship alone this sits at the top of the rubric for criteria 1, 2, 3 and 6.</w:t>
      </w:r>
    </w:p>
    <w:p>
      <w:pPr>
        <w:spacing w:after="160" w:line="276"/>
      </w:pPr>
      <w:r>
        <w:t xml:space="preserve">However, there is one substantive factual problem that shows up in three places (notebook, report, and slide deck), and a few structural risks that matter because </w:t>
      </w:r>
      <w:r>
        <w:rPr>
          <w:b/>
          <w:bCs/>
        </w:rPr>
        <w:t xml:space="preserve">Presentation is worth 50 of the 100 marks</w:t>
      </w:r>
      <w:r>
        <w:t xml:space="preserve"> — more than everything else combined. Fix the model-selection inconsistency described in Section 2 before submitting, and read Section 4 before the live demo.</w:t>
      </w:r>
    </w:p>
    <w:p>
      <w:pPr>
        <w:pStyle w:val="Heading1"/>
        <w:spacing w:after="160" w:before="360"/>
      </w:pPr>
      <w:r>
        <w:t xml:space="preserve">1. Scoring Estimate Against the Rubric</w:t>
      </w:r>
    </w:p>
    <w:p>
      <w:pPr>
        <w:spacing w:after="160" w:line="276"/>
      </w:pPr>
      <w:r>
        <w:t xml:space="preserve">These are informed estimates based on the rubric's own descriptors, not official grades. Section 8 (Presentation) cannot be scored from files alone — it depends on delivery.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900"/>
        <w:gridCol w:w="1700"/>
        <w:gridCol w:w="4300"/>
      </w:tblGrid>
      <w:tr>
        <w:trPr>
          <w:tblHeader/>
        </w:trPr>
        <w:tc>
          <w:tcPr>
            <w:tcW w:type="dxa" w:w="2000"/>
            <w:shd w:fill="1F3864" w:val="clear"/>
          </w:tcPr>
          <w:p>
            <w:r>
              <w:rPr>
                <w:b/>
                <w:bCs/>
                <w:color w:val="FFFFFF"/>
                <w:sz w:val="20"/>
                <w:szCs w:val="20"/>
              </w:rPr>
              <w:t xml:space="preserve">#</w:t>
            </w:r>
          </w:p>
        </w:tc>
        <w:tc>
          <w:tcPr>
            <w:tcW w:type="dxa" w:w="2000"/>
            <w:shd w:fill="1F3864" w:val="clear"/>
          </w:tcPr>
          <w:p>
            <w:r>
              <w:rPr>
                <w:b/>
                <w:bCs/>
                <w:color w:val="FFFFFF"/>
                <w:sz w:val="20"/>
                <w:szCs w:val="20"/>
              </w:rPr>
              <w:t xml:space="preserve">Rubric Criterion</w:t>
            </w:r>
          </w:p>
        </w:tc>
        <w:tc>
          <w:tcPr>
            <w:tcW w:type="dxa" w:w="2000"/>
            <w:shd w:fill="1F3864" w:val="clear"/>
          </w:tcPr>
          <w:p>
            <w:r>
              <w:rPr>
                <w:b/>
                <w:bCs/>
                <w:color w:val="FFFFFF"/>
                <w:sz w:val="20"/>
                <w:szCs w:val="20"/>
              </w:rPr>
              <w:t xml:space="preserve">Max</w:t>
            </w:r>
          </w:p>
        </w:tc>
        <w:tc>
          <w:tcPr>
            <w:tcW w:type="dxa" w:w="2000"/>
            <w:shd w:fill="1F3864" w:val="clear"/>
          </w:tcPr>
          <w:p>
            <w:r>
              <w:rPr>
                <w:b/>
                <w:bCs/>
                <w:color w:val="FFFFFF"/>
                <w:sz w:val="20"/>
                <w:szCs w:val="20"/>
              </w:rPr>
              <w:t xml:space="preserve">Likely Range</w:t>
            </w:r>
          </w:p>
        </w:tc>
        <w:tc>
          <w:tcPr>
            <w:tcW w:type="dxa" w:w="2000"/>
            <w:shd w:fill="1F3864" w:val="clear"/>
          </w:tcPr>
          <w:p>
            <w:r>
              <w:rPr>
                <w:b/>
                <w:bCs/>
                <w:color w:val="FFFFFF"/>
                <w:sz w:val="20"/>
                <w:szCs w:val="20"/>
              </w:rPr>
              <w:t xml:space="preserve">Key Reason</w:t>
            </w:r>
          </w:p>
        </w:tc>
      </w:tr>
      <w:tr>
        <w:tc>
          <w:tcPr>
            <w:tcW w:type="dxa" w:w="500"/>
            <w:shd w:fill="F2F2F2" w:val="clear"/>
          </w:tcPr>
          <w:p>
            <w:r>
              <w:rPr>
                <w:sz w:val="19"/>
                <w:szCs w:val="19"/>
              </w:rPr>
              <w:t xml:space="preserve">1</w:t>
            </w:r>
          </w:p>
        </w:tc>
        <w:tc>
          <w:tcPr>
            <w:tcW w:type="dxa" w:w="3600"/>
            <w:shd w:fill="F2F2F2" w:val="clear"/>
          </w:tcPr>
          <w:p>
            <w:r>
              <w:rPr>
                <w:sz w:val="19"/>
                <w:szCs w:val="19"/>
              </w:rPr>
              <w:t xml:space="preserve">Dataset Selection &amp; Preparation</w:t>
            </w:r>
          </w:p>
        </w:tc>
        <w:tc>
          <w:tcPr>
            <w:tcW w:type="dxa" w:w="900"/>
            <w:shd w:fill="F2F2F2" w:val="clear"/>
          </w:tcPr>
          <w:p>
            <w:r>
              <w:rPr>
                <w:sz w:val="19"/>
                <w:szCs w:val="19"/>
              </w:rPr>
              <w:t xml:space="preserve">5</w:t>
            </w:r>
          </w:p>
        </w:tc>
        <w:tc>
          <w:tcPr>
            <w:tcW w:type="dxa" w:w="1700"/>
            <w:shd w:fill="F2F2F2" w:val="clear"/>
          </w:tcPr>
          <w:p>
            <w:r>
              <w:rPr>
                <w:sz w:val="19"/>
                <w:szCs w:val="19"/>
              </w:rPr>
              <w:t xml:space="preserve">4 – 5</w:t>
            </w:r>
          </w:p>
        </w:tc>
        <w:tc>
          <w:tcPr>
            <w:tcW w:type="dxa" w:w="4300"/>
            <w:shd w:fill="F2F2F2" w:val="clear"/>
          </w:tcPr>
          <w:p>
            <w:r>
              <w:rPr>
                <w:sz w:val="19"/>
                <w:szCs w:val="19"/>
              </w:rPr>
              <w:t xml:space="preserve">Size/cleaning excellent; citation URL doesn't match claimed date range</w:t>
            </w:r>
          </w:p>
        </w:tc>
      </w:tr>
      <w:tr>
        <w:tc>
          <w:tcPr>
            <w:tcW w:type="dxa" w:w="500"/>
            <w:shd w:fill="FFFFFF" w:val="clear"/>
          </w:tcPr>
          <w:p>
            <w:r>
              <w:rPr>
                <w:sz w:val="19"/>
                <w:szCs w:val="19"/>
              </w:rPr>
              <w:t xml:space="preserve">2</w:t>
            </w:r>
          </w:p>
        </w:tc>
        <w:tc>
          <w:tcPr>
            <w:tcW w:type="dxa" w:w="3600"/>
            <w:shd w:fill="FFFFFF" w:val="clear"/>
          </w:tcPr>
          <w:p>
            <w:r>
              <w:rPr>
                <w:sz w:val="19"/>
                <w:szCs w:val="19"/>
              </w:rPr>
              <w:t xml:space="preserve">Exploratory Data Analysis</w:t>
            </w:r>
          </w:p>
        </w:tc>
        <w:tc>
          <w:tcPr>
            <w:tcW w:type="dxa" w:w="900"/>
            <w:shd w:fill="FFFFFF" w:val="clear"/>
          </w:tcPr>
          <w:p>
            <w:r>
              <w:rPr>
                <w:sz w:val="19"/>
                <w:szCs w:val="19"/>
              </w:rPr>
              <w:t xml:space="preserve">10</w:t>
            </w:r>
          </w:p>
        </w:tc>
        <w:tc>
          <w:tcPr>
            <w:tcW w:type="dxa" w:w="1700"/>
            <w:shd w:fill="FFFFFF" w:val="clear"/>
          </w:tcPr>
          <w:p>
            <w:r>
              <w:rPr>
                <w:sz w:val="19"/>
                <w:szCs w:val="19"/>
              </w:rPr>
              <w:t xml:space="preserve">9 – 10</w:t>
            </w:r>
          </w:p>
        </w:tc>
        <w:tc>
          <w:tcPr>
            <w:tcW w:type="dxa" w:w="4300"/>
            <w:shd w:fill="FFFFFF" w:val="clear"/>
          </w:tcPr>
          <w:p>
            <w:r>
              <w:rPr>
                <w:sz w:val="19"/>
                <w:szCs w:val="19"/>
              </w:rPr>
              <w:t xml:space="preserve">Comprehensive stats incl. skew/kurtosis, correlation, strong commentary</w:t>
            </w:r>
          </w:p>
        </w:tc>
      </w:tr>
      <w:tr>
        <w:tc>
          <w:tcPr>
            <w:tcW w:type="dxa" w:w="500"/>
            <w:shd w:fill="F2F2F2" w:val="clear"/>
          </w:tcPr>
          <w:p>
            <w:r>
              <w:rPr>
                <w:sz w:val="19"/>
                <w:szCs w:val="19"/>
              </w:rPr>
              <w:t xml:space="preserve">3</w:t>
            </w:r>
          </w:p>
        </w:tc>
        <w:tc>
          <w:tcPr>
            <w:tcW w:type="dxa" w:w="3600"/>
            <w:shd w:fill="F2F2F2" w:val="clear"/>
          </w:tcPr>
          <w:p>
            <w:r>
              <w:rPr>
                <w:sz w:val="19"/>
                <w:szCs w:val="19"/>
              </w:rPr>
              <w:t xml:space="preserve">Data Visualisation</w:t>
            </w:r>
          </w:p>
        </w:tc>
        <w:tc>
          <w:tcPr>
            <w:tcW w:type="dxa" w:w="900"/>
            <w:shd w:fill="F2F2F2" w:val="clear"/>
          </w:tcPr>
          <w:p>
            <w:r>
              <w:rPr>
                <w:sz w:val="19"/>
                <w:szCs w:val="19"/>
              </w:rPr>
              <w:t xml:space="preserve">10</w:t>
            </w:r>
          </w:p>
        </w:tc>
        <w:tc>
          <w:tcPr>
            <w:tcW w:type="dxa" w:w="1700"/>
            <w:shd w:fill="F2F2F2" w:val="clear"/>
          </w:tcPr>
          <w:p>
            <w:r>
              <w:rPr>
                <w:sz w:val="19"/>
                <w:szCs w:val="19"/>
              </w:rPr>
              <w:t xml:space="preserve">9 – 10</w:t>
            </w:r>
          </w:p>
        </w:tc>
        <w:tc>
          <w:tcPr>
            <w:tcW w:type="dxa" w:w="4300"/>
            <w:shd w:fill="F2F2F2" w:val="clear"/>
          </w:tcPr>
          <w:p>
            <w:r>
              <w:rPr>
                <w:sz w:val="19"/>
                <w:szCs w:val="19"/>
              </w:rPr>
              <w:t xml:space="preserve">5 distinct chart types, consistent palette; one deprecation warning</w:t>
            </w:r>
          </w:p>
        </w:tc>
      </w:tr>
      <w:tr>
        <w:tc>
          <w:tcPr>
            <w:tcW w:type="dxa" w:w="500"/>
            <w:shd w:fill="FFFFFF" w:val="clear"/>
          </w:tcPr>
          <w:p>
            <w:r>
              <w:rPr>
                <w:sz w:val="19"/>
                <w:szCs w:val="19"/>
              </w:rPr>
              <w:t xml:space="preserve">4</w:t>
            </w:r>
          </w:p>
        </w:tc>
        <w:tc>
          <w:tcPr>
            <w:tcW w:type="dxa" w:w="3600"/>
            <w:shd w:fill="FFFFFF" w:val="clear"/>
          </w:tcPr>
          <w:p>
            <w:r>
              <w:rPr>
                <w:sz w:val="19"/>
                <w:szCs w:val="19"/>
              </w:rPr>
              <w:t xml:space="preserve">Predictive / Classification Modelling</w:t>
            </w:r>
          </w:p>
        </w:tc>
        <w:tc>
          <w:tcPr>
            <w:tcW w:type="dxa" w:w="900"/>
            <w:shd w:fill="FFFFFF" w:val="clear"/>
          </w:tcPr>
          <w:p>
            <w:r>
              <w:rPr>
                <w:sz w:val="19"/>
                <w:szCs w:val="19"/>
              </w:rPr>
              <w:t xml:space="preserve">5</w:t>
            </w:r>
          </w:p>
        </w:tc>
        <w:tc>
          <w:tcPr>
            <w:tcW w:type="dxa" w:w="1700"/>
            <w:shd w:fill="FFFFFF" w:val="clear"/>
          </w:tcPr>
          <w:p>
            <w:r>
              <w:rPr>
                <w:sz w:val="19"/>
                <w:szCs w:val="19"/>
              </w:rPr>
              <w:t xml:space="preserve">3 – 4</w:t>
            </w:r>
          </w:p>
        </w:tc>
        <w:tc>
          <w:tcPr>
            <w:tcW w:type="dxa" w:w="4300"/>
            <w:shd w:fill="FFFFFF" w:val="clear"/>
          </w:tcPr>
          <w:p>
            <w:r>
              <w:rPr>
                <w:sz w:val="19"/>
                <w:szCs w:val="19"/>
              </w:rPr>
              <w:t xml:space="preserve">“Best model” claim contradicts the notebook's own computed output</w:t>
            </w:r>
          </w:p>
        </w:tc>
      </w:tr>
      <w:tr>
        <w:tc>
          <w:tcPr>
            <w:tcW w:type="dxa" w:w="500"/>
            <w:shd w:fill="F2F2F2" w:val="clear"/>
          </w:tcPr>
          <w:p>
            <w:r>
              <w:rPr>
                <w:sz w:val="19"/>
                <w:szCs w:val="19"/>
              </w:rPr>
              <w:t xml:space="preserve">5</w:t>
            </w:r>
          </w:p>
        </w:tc>
        <w:tc>
          <w:tcPr>
            <w:tcW w:type="dxa" w:w="3600"/>
            <w:shd w:fill="F2F2F2" w:val="clear"/>
          </w:tcPr>
          <w:p>
            <w:r>
              <w:rPr>
                <w:sz w:val="19"/>
                <w:szCs w:val="19"/>
              </w:rPr>
              <w:t xml:space="preserve">Code Quality &amp; Reproducibility</w:t>
            </w:r>
          </w:p>
        </w:tc>
        <w:tc>
          <w:tcPr>
            <w:tcW w:type="dxa" w:w="900"/>
            <w:shd w:fill="F2F2F2" w:val="clear"/>
          </w:tcPr>
          <w:p>
            <w:r>
              <w:rPr>
                <w:sz w:val="19"/>
                <w:szCs w:val="19"/>
              </w:rPr>
              <w:t xml:space="preserve">5</w:t>
            </w:r>
          </w:p>
        </w:tc>
        <w:tc>
          <w:tcPr>
            <w:tcW w:type="dxa" w:w="1700"/>
            <w:shd w:fill="F2F2F2" w:val="clear"/>
          </w:tcPr>
          <w:p>
            <w:r>
              <w:rPr>
                <w:sz w:val="19"/>
                <w:szCs w:val="19"/>
              </w:rPr>
              <w:t xml:space="preserve">3 – 4</w:t>
            </w:r>
          </w:p>
        </w:tc>
        <w:tc>
          <w:tcPr>
            <w:tcW w:type="dxa" w:w="4300"/>
            <w:shd w:fill="F2F2F2" w:val="clear"/>
          </w:tcPr>
          <w:p>
            <w:r>
              <w:rPr>
                <w:sz w:val="19"/>
                <w:szCs w:val="19"/>
              </w:rPr>
              <w:t xml:space="preserve">Code is clean, but commit timestamps show bulk drops, not iteration</w:t>
            </w:r>
          </w:p>
        </w:tc>
      </w:tr>
      <w:tr>
        <w:tc>
          <w:tcPr>
            <w:tcW w:type="dxa" w:w="500"/>
            <w:shd w:fill="FFFFFF" w:val="clear"/>
          </w:tcPr>
          <w:p>
            <w:r>
              <w:rPr>
                <w:sz w:val="19"/>
                <w:szCs w:val="19"/>
              </w:rPr>
              <w:t xml:space="preserve">6</w:t>
            </w:r>
          </w:p>
        </w:tc>
        <w:tc>
          <w:tcPr>
            <w:tcW w:type="dxa" w:w="3600"/>
            <w:shd w:fill="FFFFFF" w:val="clear"/>
          </w:tcPr>
          <w:p>
            <w:r>
              <w:rPr>
                <w:sz w:val="19"/>
                <w:szCs w:val="19"/>
              </w:rPr>
              <w:t xml:space="preserve">Insights &amp; Recommendations</w:t>
            </w:r>
          </w:p>
        </w:tc>
        <w:tc>
          <w:tcPr>
            <w:tcW w:type="dxa" w:w="900"/>
            <w:shd w:fill="FFFFFF" w:val="clear"/>
          </w:tcPr>
          <w:p>
            <w:r>
              <w:rPr>
                <w:sz w:val="19"/>
                <w:szCs w:val="19"/>
              </w:rPr>
              <w:t xml:space="preserve">5</w:t>
            </w:r>
          </w:p>
        </w:tc>
        <w:tc>
          <w:tcPr>
            <w:tcW w:type="dxa" w:w="1700"/>
            <w:shd w:fill="FFFFFF" w:val="clear"/>
          </w:tcPr>
          <w:p>
            <w:r>
              <w:rPr>
                <w:sz w:val="19"/>
                <w:szCs w:val="19"/>
              </w:rPr>
              <w:t xml:space="preserve">5</w:t>
            </w:r>
          </w:p>
        </w:tc>
        <w:tc>
          <w:tcPr>
            <w:tcW w:type="dxa" w:w="4300"/>
            <w:shd w:fill="FFFFFF" w:val="clear"/>
          </w:tcPr>
          <w:p>
            <w:r>
              <w:rPr>
                <w:sz w:val="19"/>
                <w:szCs w:val="19"/>
              </w:rPr>
              <w:t xml:space="preserve">3 evidence-linked recommendations, honest limitations, specific future work</w:t>
            </w:r>
          </w:p>
        </w:tc>
      </w:tr>
      <w:tr>
        <w:tc>
          <w:tcPr>
            <w:tcW w:type="dxa" w:w="500"/>
            <w:shd w:fill="F2F2F2" w:val="clear"/>
          </w:tcPr>
          <w:p>
            <w:r>
              <w:rPr>
                <w:sz w:val="19"/>
                <w:szCs w:val="19"/>
              </w:rPr>
              <w:t xml:space="preserve">7</w:t>
            </w:r>
          </w:p>
        </w:tc>
        <w:tc>
          <w:tcPr>
            <w:tcW w:type="dxa" w:w="3600"/>
            <w:shd w:fill="F2F2F2" w:val="clear"/>
          </w:tcPr>
          <w:p>
            <w:r>
              <w:rPr>
                <w:sz w:val="19"/>
                <w:szCs w:val="19"/>
              </w:rPr>
              <w:t xml:space="preserve">Report &amp; Documentation</w:t>
            </w:r>
          </w:p>
        </w:tc>
        <w:tc>
          <w:tcPr>
            <w:tcW w:type="dxa" w:w="900"/>
            <w:shd w:fill="F2F2F2" w:val="clear"/>
          </w:tcPr>
          <w:p>
            <w:r>
              <w:rPr>
                <w:sz w:val="19"/>
                <w:szCs w:val="19"/>
              </w:rPr>
              <w:t xml:space="preserve">10</w:t>
            </w:r>
          </w:p>
        </w:tc>
        <w:tc>
          <w:tcPr>
            <w:tcW w:type="dxa" w:w="1700"/>
            <w:shd w:fill="F2F2F2" w:val="clear"/>
          </w:tcPr>
          <w:p>
            <w:r>
              <w:rPr>
                <w:sz w:val="19"/>
                <w:szCs w:val="19"/>
              </w:rPr>
              <w:t xml:space="preserve">7 – 9</w:t>
            </w:r>
          </w:p>
        </w:tc>
        <w:tc>
          <w:tcPr>
            <w:tcW w:type="dxa" w:w="4300"/>
            <w:shd w:fill="F2F2F2" w:val="clear"/>
          </w:tcPr>
          <w:p>
            <w:r>
              <w:rPr>
                <w:sz w:val="19"/>
                <w:szCs w:val="19"/>
              </w:rPr>
              <w:t xml:space="preserve">All sections present, well written; contains the same numeric inconsistency as #4</w:t>
            </w:r>
          </w:p>
        </w:tc>
      </w:tr>
      <w:tr>
        <w:tc>
          <w:tcPr>
            <w:tcW w:type="dxa" w:w="500"/>
            <w:shd w:fill="FFFFFF" w:val="clear"/>
          </w:tcPr>
          <w:p>
            <w:r>
              <w:rPr>
                <w:sz w:val="19"/>
                <w:szCs w:val="19"/>
              </w:rPr>
              <w:t xml:space="preserve">8</w:t>
            </w:r>
          </w:p>
        </w:tc>
        <w:tc>
          <w:tcPr>
            <w:tcW w:type="dxa" w:w="3600"/>
            <w:shd w:fill="FFFFFF" w:val="clear"/>
          </w:tcPr>
          <w:p>
            <w:r>
              <w:rPr>
                <w:sz w:val="19"/>
                <w:szCs w:val="19"/>
              </w:rPr>
              <w:t xml:space="preserve">Presentation (Video + Live Demo)</w:t>
            </w:r>
          </w:p>
        </w:tc>
        <w:tc>
          <w:tcPr>
            <w:tcW w:type="dxa" w:w="900"/>
            <w:shd w:fill="FFFFFF" w:val="clear"/>
          </w:tcPr>
          <w:p>
            <w:r>
              <w:rPr>
                <w:sz w:val="19"/>
                <w:szCs w:val="19"/>
              </w:rPr>
              <w:t xml:space="preserve">50</w:t>
            </w:r>
          </w:p>
        </w:tc>
        <w:tc>
          <w:tcPr>
            <w:tcW w:type="dxa" w:w="1700"/>
            <w:shd w:fill="FFFFFF" w:val="clear"/>
          </w:tcPr>
          <w:p>
            <w:r>
              <w:rPr>
                <w:sz w:val="19"/>
                <w:szCs w:val="19"/>
              </w:rPr>
              <w:t xml:space="preserve">Not assessable here</w:t>
            </w:r>
          </w:p>
        </w:tc>
        <w:tc>
          <w:tcPr>
            <w:tcW w:type="dxa" w:w="4300"/>
            <w:shd w:fill="FFFFFF" w:val="clear"/>
          </w:tcPr>
          <w:p>
            <w:r>
              <w:rPr>
                <w:sz w:val="19"/>
                <w:szCs w:val="19"/>
              </w:rPr>
              <w:t xml:space="preserve">Depends entirely on live delivery — see Section 4 below</w:t>
            </w:r>
          </w:p>
        </w:tc>
      </w:tr>
    </w:tbl>
    <w:p>
      <w:pPr>
        <w:spacing w:after="200"/>
      </w:pPr>
    </w:p>
    <w:p>
      <w:pPr>
        <w:pStyle w:val="Heading1"/>
        <w:spacing w:after="160" w:before="360"/>
      </w:pPr>
      <w:r>
        <w:t xml:space="preserve">2. The Central Flaw: “Best Model” Claim Doesn't Match the Notebook's Own Output</w:t>
      </w:r>
    </w:p>
    <w:p>
      <w:pPr>
        <w:spacing w:after="160" w:line="276"/>
      </w:pPr>
      <w:r>
        <w:t xml:space="preserve">This is the most important issue in the whole submission because it touches three rubric lines at once (Predictive Modelling, Report &amp; Documentation, and — if a marker checks it live — Presentation).</w:t>
      </w:r>
    </w:p>
    <w:p>
      <w:pPr>
        <w:pStyle w:val="Heading2"/>
        <w:spacing w:after="120" w:before="280"/>
      </w:pPr>
      <w:r>
        <w:t xml:space="preserve">What the notebook actually computes</w:t>
      </w:r>
    </w:p>
    <w:p>
      <w:pPr>
        <w:spacing w:after="160" w:line="276"/>
      </w:pPr>
      <w:r>
        <w:t xml:space="preserve">Cell 45 of World_Cup_Prediction.ipynb prints this comparison table (captured from the notebook's own saved output):</w:t>
      </w:r>
    </w:p>
    <w:p>
      <w:pPr>
        <w:pStyle w:val="ListParagraph"/>
        <w:numPr>
          <w:ilvl w:val="0"/>
          <w:numId w:val="2"/>
        </w:numPr>
        <w:spacing w:after="100" w:line="276"/>
      </w:pPr>
      <w:r>
        <w:t xml:space="preserve">Logistic Regression — accuracy 0.598, macro-F1 0.441</w:t>
      </w:r>
    </w:p>
    <w:p>
      <w:pPr>
        <w:pStyle w:val="ListParagraph"/>
        <w:numPr>
          <w:ilvl w:val="0"/>
          <w:numId w:val="2"/>
        </w:numPr>
        <w:spacing w:after="100" w:line="276"/>
      </w:pPr>
      <w:r>
        <w:t xml:space="preserve">Random Forest — accuracy 0.597, macro-F1 0.443</w:t>
      </w:r>
    </w:p>
    <w:p>
      <w:pPr>
        <w:pStyle w:val="ListParagraph"/>
        <w:numPr>
          <w:ilvl w:val="0"/>
          <w:numId w:val="2"/>
        </w:numPr>
        <w:spacing w:after="100" w:line="276"/>
      </w:pPr>
      <w:r>
        <w:t xml:space="preserve">Gradient Boosting — accuracy 0.594, macro-F1 0.447</w:t>
      </w:r>
    </w:p>
    <w:p>
      <w:pPr>
        <w:spacing w:after="160" w:line="276"/>
      </w:pPr>
      <w:r>
        <w:t xml:space="preserve">Cell 47 then runs best_name = comparison[…].idxmax() on macro-F1 and prints “Best model by macro-F1: Gradient Boosting” — correctly, since 0.447 is the highest value. The confusion matrix plotted immediately after (Viz 9) is therefore the Gradient Boosting confusion matrix, not Random Forest's.</w:t>
      </w:r>
    </w:p>
    <w:p>
      <w:pPr>
        <w:pStyle w:val="Heading2"/>
        <w:spacing w:after="120" w:before="280"/>
      </w:pPr>
      <w:r>
        <w:t xml:space="preserve">What the report and slide deck claim instead</w:t>
      </w:r>
    </w:p>
    <w:p>
      <w:pPr>
        <w:spacing w:after="160" w:line="276"/>
      </w:pPr>
      <w:r>
        <w:t xml:space="preserve">World_Cup_Report.docx, Section 4.1, states: “Random Forest and Gradient Boosting are tied on macro-averaged F1 (0.446) … Random Forest is selected as the best model.” The submitted Table 1 in the report lists Random Forest and Gradient Boosting as both scoring 0.446. The slide deck (slide 9) repeats the same claim: “Random Forest selected: ties Gradient Boosting on macro-F1.” Figure 7 in the report is captioned “Confusion Matrix — Random Forest.”</w:t>
      </w:r>
    </w:p>
    <w:p>
      <w:pPr>
        <w:spacing w:after="160" w:line="276"/>
      </w:pPr>
      <w:r>
        <w:t xml:space="preserve">None of this matches the notebook. There is no tie in the notebook's own numbers (0.443 vs 0.447 is a real, if small, gap), and the value 0.446 does not appear for either model in the notebook's printed output at all. This means one of two things happened, and a marker checking the notebook against the report will notice either way:</w:t>
      </w:r>
    </w:p>
    <w:p>
      <w:pPr>
        <w:pStyle w:val="ListParagraph"/>
        <w:numPr>
          <w:ilvl w:val="0"/>
          <w:numId w:val="2"/>
        </w:numPr>
        <w:spacing w:after="100" w:line="276"/>
      </w:pPr>
      <w:r>
        <w:t xml:space="preserve">The report was drafted from an earlier run of the notebook and never regenerated after the final code changes — a reproducibility problem the rubric explicitly penalises (“notebook runs top to bottom without errors” and consistent, verifiable results are part of Code Quality and Report Documentation).</w:t>
      </w:r>
    </w:p>
    <w:p>
      <w:pPr>
        <w:pStyle w:val="ListParagraph"/>
        <w:numPr>
          <w:ilvl w:val="0"/>
          <w:numId w:val="2"/>
        </w:numPr>
        <w:spacing w:after="100" w:line="276"/>
      </w:pPr>
      <w:r>
        <w:t xml:space="preserve">The downstream “why teams win” explanation (Section 7 of the notebook, Section 4.2 of the report) is built entirely from the Random Forest object (rf.feature_importances_, logreg.coef_) regardless of which model the code itself flagged as best — so even inside the notebook, the model that gets explained is not the model the code says is best. This is never acknowledged or justified anywhere in the deliverables.</w:t>
      </w:r>
    </w:p>
    <w:p>
      <w:pPr>
        <w:pStyle w:val="Heading2"/>
        <w:spacing w:after="120" w:before="280"/>
      </w:pPr>
      <w:r>
        <w:t xml:space="preserve">Why this matters more than it looks</w:t>
      </w:r>
    </w:p>
    <w:p>
      <w:pPr>
        <w:spacing w:after="160" w:line="276"/>
      </w:pPr>
      <w:r>
        <w:t xml:space="preserve">The rubric's top tier for Predictive Modelling requires that “the best model is justified with evidence.” Here the justification (a tie-break) describes numbers that don't exist in the actual analysis. This is very fixable — either correct the report/deck to say Gradient Boosting is the best model by macro-F1 and explain it using the gb object, or keep Random Forest but justify it on different, real grounds (e.g. “we prioritise interpretability and native feature-importance access over a 0.004 macro-F1 difference, which is within noise”) rather than a false tie. Either fix is a 20-minute edit; leaving it as-is is the kind of inconsistency a marker who cross-references deliverables (which the rubric structure encourages, since Report/Documentation and Modelling are scored separately) will catch immediately.</w:t>
      </w:r>
    </w:p>
    <w:p>
      <w:pPr>
        <w:pStyle w:val="Heading1"/>
        <w:spacing w:after="160" w:before="360"/>
      </w:pPr>
      <w:r>
        <w:t xml:space="preserve">3. Detailed Findings by Rubric Criterion</w:t>
      </w:r>
    </w:p>
    <w:p>
      <w:pPr>
        <w:pStyle w:val="Heading2"/>
        <w:spacing w:after="120" w:before="280"/>
      </w:pPr>
      <w:r>
        <w:t xml:space="preserve">1. Dataset Selection &amp; Preparation (5 marks)</w:t>
      </w:r>
    </w:p>
    <w:p>
      <w:pPr>
        <w:spacing w:after="160" w:line="276"/>
      </w:pPr>
      <w:r>
        <w:t xml:space="preserve">Strengths: the primary dataset (international_matches1.csv) has 49,490 rows and 8 raw columns — well past the 500-row / 8-column minimum. Cleaning is genuinely thorough: dates are typed and sorted, exactly one duplicate fixture is found and removed with the dedup key shown, and 44 extreme scorelines are investigated and deliberately kept (with a stated reason: they're real historical blow-outs, and the Elo/form features are robust to them). That is a better decision, and better documented, than reflexively dropping outliers — it matches the rubric's “clear justification” language precisely.</w:t>
      </w:r>
    </w:p>
    <w:p>
      <w:pPr>
        <w:spacing w:after="160" w:line="276"/>
      </w:pPr>
      <w:r>
        <w:rPr>
          <w:b/>
          <w:bCs/>
        </w:rPr>
        <w:t xml:space="preserve">Flaw to fix: </w:t>
      </w:r>
      <w:r>
        <w:t xml:space="preserve">the README and report cite the dataset as “Kaggle — International Football Results (martj42), continuously-updated snapshot,” and link to </w:t>
      </w:r>
    </w:p>
    <w:p>
      <w:pPr>
        <w:spacing w:after="160" w:line="276"/>
      </w:pPr>
      <w:r>
        <w:t xml:space="preserve">https://www.kaggle.com/datasets/martj42/international-football-results-from-1872-to-2017</w:t>
      </w:r>
      <w:r>
        <w:t xml:space="preserve">  — note the URL slug itself says “to-2017,” while the project claims data through July 2026 and even runs a live prediction for a 2026 semifinal. Kaggle datasets sometimes keep an old URL slug after later updates, so this may be entirely legitimate, but nothing in the report documents </w:t>
      </w:r>
    </w:p>
    <w:p>
      <w:pPr>
        <w:spacing w:after="160" w:line="276"/>
      </w:pPr>
      <w:r>
        <w:t xml:space="preserve">how</w:t>
      </w:r>
      <w:r>
        <w:t xml:space="preserve"> the post-2017 rows were obtained — was the Kaggle source itself updated, or was additional data merged in from somewhere else and if so from where? A marker who opens that link and sees a dataset described as ending in 2017 will ask this question directly, and “I'm not sure” is a bad answer to have on the day. Add one sentence to the report's Section 2 stating exactly where the 2018–2026 rows came from.</w:t>
      </w:r>
    </w:p>
    <w:p>
      <w:pPr>
        <w:pStyle w:val="Heading2"/>
        <w:spacing w:after="120" w:before="280"/>
      </w:pPr>
      <w:r>
        <w:t xml:space="preserve">2. Exploratory Data Analysis (10 marks)</w:t>
      </w:r>
    </w:p>
    <w:p>
      <w:pPr>
        <w:spacing w:after="160" w:line="276"/>
      </w:pPr>
      <w:r>
        <w:t xml:space="preserve">This section is close to a model answer. Descriptive statistics go beyond the minimum (mean, median, std) to include skewness (1.485) and excess kurtosis (5.895) with a correct plain-language interpretation of what a right-skewed, heavy-tailed goals distribution means. A correlation heatmap and a ranked correlation table are both produced and interpreted, and the interpretation is then carried forward into the modelling section rather than left as a standalone chart. Home-advantage is decomposed by actual-stadium vs neutral-venue (50.7% vs 44.2%), which is a genuinely useful, non-obvious finding.</w:t>
      </w:r>
    </w:p>
    <w:p>
      <w:pPr>
        <w:spacing w:after="160" w:line="276"/>
      </w:pPr>
      <w:r>
        <w:t xml:space="preserve">Minor: cell 20 asserts “we already have 4 visualisation types here (histogram, bar, line, bar)” — that's 3 distinct types with bar used twice, not 4. It doesn't affect the final count (5 distinct types are reached later), but it's worth fixing the sentence so it doesn't read as a miscount if questioned.</w:t>
      </w:r>
    </w:p>
    <w:p>
      <w:pPr>
        <w:pStyle w:val="Heading2"/>
        <w:spacing w:after="120" w:before="280"/>
      </w:pPr>
      <w:r>
        <w:t xml:space="preserve">3. Data Visualisation (10 marks)</w:t>
      </w:r>
    </w:p>
    <w:p>
      <w:pPr>
        <w:spacing w:after="160" w:line="276"/>
      </w:pPr>
      <w:r>
        <w:t xml:space="preserve">Five distinct chart types appear across the notebook: histogram, bar chart, line chart, box plot, and heatmap (plus a confusion-matrix heatmap and horizontal bar charts for feature importance/coefficients). A single, semantically consistent colour palette is defined once at the top of the notebook and reused everywhere — win/draw/loss always map to the same green/amber/red, which is exactly what the rubric's top tier calls “consistent colour schemes”.</w:t>
      </w:r>
    </w:p>
    <w:p>
      <w:pPr>
        <w:spacing w:after="160" w:line="276"/>
      </w:pPr>
      <w:r>
        <w:rPr>
          <w:b/>
          <w:bCs/>
        </w:rPr>
        <w:t xml:space="preserve">Flaw to fix: </w:t>
      </w:r>
      <w:r>
        <w:t xml:space="preserve">the box-plot cell (Elo difference by outcome) throws a FutureWarning — “Passing `palette` without assigning `hue` is deprecated.” The notebook still runs, so this won't break the “runs top to bottom” requirement today, but it will become a hard error in a future seaborn release, and a version-pinned requirements.txt won't protect the notebook itself. Fix is one line: pass hue="Result", legend=False.</w:t>
      </w:r>
    </w:p>
    <w:p>
      <w:pPr>
        <w:pStyle w:val="Heading2"/>
        <w:spacing w:after="120" w:before="280"/>
      </w:pPr>
      <w:r>
        <w:t xml:space="preserve">4. Predictive / Classification Modelling (5 marks)</w:t>
      </w:r>
    </w:p>
    <w:p>
      <w:pPr>
        <w:spacing w:after="160" w:line="276"/>
      </w:pPr>
      <w:r>
        <w:t xml:space="preserve">See Section 2 above for the main issue. Setting that aside, the modelling work itself is sophisticated for this level: a chronological (not random) 80/20 split is used and explicitly justified against leakage, three models are compared (exceeding the required two), GridSearchCV with TimeSeriesSplit is used to tune Random Forest, and permutation importance is used as an independent, model-agnostic cross-check of the feature-importance story. This is genuinely above the “Excellent” bar on technique.</w:t>
      </w:r>
    </w:p>
    <w:p>
      <w:pPr>
        <w:spacing w:after="160" w:line="276"/>
      </w:pPr>
      <w:r>
        <w:t xml:space="preserve">Two things pull it back down: first, the unresolved best-model inconsistency in Section 2. Second, the class-imbalance problem (Draw recall of 0.01–0.02 across all three models) is honestly disclosed — which is good practice — but no remedy is actually applied (class_weight="balanced", SMOTE, and ordinal reframing are all named as future work, not tried). Given how cheap class_weight="balanced" is to test, running it and reporting whether it helps would move this from “identified but not attempted” to “attempted and evaluated,” which is a stronger showing for the same amount of writing.</w:t>
      </w:r>
    </w:p>
    <w:p>
      <w:pPr>
        <w:pStyle w:val="Heading2"/>
        <w:spacing w:after="120" w:before="280"/>
      </w:pPr>
      <w:r>
        <w:t xml:space="preserve">5. Code Quality &amp; Reproducibility (5 marks)</w:t>
      </w:r>
    </w:p>
    <w:p>
      <w:pPr>
        <w:spacing w:after="160" w:line="276"/>
      </w:pPr>
      <w:r>
        <w:t xml:space="preserve">The notebook is well-structured with numbered markdown sections, meaningful variable names (Form_Pts_Diff, H2H_Diff, not x1/x2), and inline justification for non-obvious choices (e.g. why rest days are capped at 60, why match types are collapsed into 4 buckets before one-hot encoding). model.py in the dashboard is unusually clean for a bonus feature — vectorised Elo/form computation, a documented rationale for every performance decision, and functions that are reused (not copy-pasted) between the notebook and the dashboard.</w:t>
      </w:r>
    </w:p>
    <w:p>
      <w:pPr>
        <w:spacing w:after="160" w:line="276"/>
      </w:pPr>
      <w:r>
        <w:rPr>
          <w:b/>
          <w:bCs/>
        </w:rPr>
        <w:t xml:space="preserve">Flaw to weigh carefully: </w:t>
      </w:r>
      <w:r>
        <w:t xml:space="preserve">the rubric's top tier explicitly asks for “meaningful commit history” as evidence of iterative work, distinct from “few GitHub commits (e.g. single upload)” at the Poor tier. The actual commit timestamps cluster into three narrow windows:</w:t>
      </w:r>
    </w:p>
    <w:p>
      <w:pPr>
        <w:pStyle w:val="ListParagraph"/>
        <w:numPr>
          <w:ilvl w:val="0"/>
          <w:numId w:val="2"/>
        </w:numPr>
        <w:spacing w:after="100" w:line="276"/>
      </w:pPr>
      <w:r>
        <w:t xml:space="preserve">4 July, 13:41–17:51 — initial upload, followed by a rapid delete/re-upload cycle of the same four files (six commits in nine minutes), consistent with fixing a broken web upload rather than iterative development.</w:t>
      </w:r>
    </w:p>
    <w:p>
      <w:pPr>
        <w:pStyle w:val="ListParagraph"/>
        <w:numPr>
          <w:ilvl w:val="0"/>
          <w:numId w:val="2"/>
        </w:numPr>
        <w:spacing w:after="100" w:line="276"/>
      </w:pPr>
      <w:r>
        <w:t xml:space="preserve">12 July, 12:33–12:58 — the datasets, the full analysis notebook, the entire Streamlit dashboard, the Docker setup, the report, and the presentation are all added as separate commits within a 25-minute window.</w:t>
      </w:r>
    </w:p>
    <w:p>
      <w:pPr>
        <w:pStyle w:val="ListParagraph"/>
        <w:numPr>
          <w:ilvl w:val="0"/>
          <w:numId w:val="2"/>
        </w:numPr>
        <w:spacing w:after="100" w:line="276"/>
      </w:pPr>
      <w:r>
        <w:t xml:space="preserve">15–16 July, 15:59–01:55 — dashboard styling and a final “update model and notebook” commit, the day before the deadline.</w:t>
      </w:r>
    </w:p>
    <w:p>
      <w:pPr>
        <w:spacing w:after="160" w:line="276"/>
      </w:pPr>
      <w:r>
        <w:t xml:space="preserve">Twenty commits with descriptive messages is more than a single upload, so this won't read as the rubric's “Poor” tier — but it also doesn't read as steady, organic iteration; it reads as three large work sessions each checked in at the end. If asked about the GitHub history during the live demo, the honest and safe answer is to describe it exactly that way (“I worked in a few focused sessions and committed at the end of each”) rather than implying continuous daily development the log doesn't support.</w:t>
      </w:r>
    </w:p>
    <w:p>
      <w:pPr>
        <w:pStyle w:val="Heading2"/>
        <w:spacing w:after="120" w:before="280"/>
      </w:pPr>
      <w:r>
        <w:t xml:space="preserve">6. Insights &amp; Recommendations (5 marks)</w:t>
      </w:r>
    </w:p>
    <w:p>
      <w:pPr>
        <w:spacing w:after="160" w:line="276"/>
      </w:pPr>
      <w:r>
        <w:t xml:space="preserve">This section is a clean match for the rubric's top tier. Three recommendations are given, each tied to a specific, named result: rank teams by Elo (justified by Elo's dominant feature importance), prioritise defensive consistency (justified by the Form_GA_Diff coefficient direction), and don't over-rely on home advantage (justified by the 50.7% vs 44.2% EDA finding). Limitations are specific rather than generic (draw prediction, no squad-level data, Elo cold start, neutral-venue labelling for World Cups), and future work names concrete next steps rather than vague aspirations. Nothing to fix here.</w:t>
      </w:r>
    </w:p>
    <w:p>
      <w:pPr>
        <w:pStyle w:val="Heading2"/>
        <w:spacing w:after="120" w:before="280"/>
      </w:pPr>
      <w:r>
        <w:t xml:space="preserve">7. Report &amp; Documentation (10 marks)</w:t>
      </w:r>
    </w:p>
    <w:p>
      <w:pPr>
        <w:spacing w:after="160" w:line="276"/>
      </w:pPr>
      <w:r>
        <w:t xml:space="preserve">The report is 9 pages (within the 10-page limit), covers every required section (objectives, dataset + source, methodology, EDA, feature engineering, modelling, evaluation, two applied predictions, insights, limitations, references), and captions/refers to every figure and table in the surrounding text — which the rubric calls out specifically at the top tier. Academic references are included (the original Elo paper, the scikit-learn paper), which is a nice touch beyond what was strictly asked.</w:t>
      </w:r>
    </w:p>
    <w:p>
      <w:pPr>
        <w:spacing w:after="160" w:line="276"/>
      </w:pPr>
      <w:r>
        <w:rPr>
          <w:b/>
          <w:bCs/>
        </w:rPr>
        <w:t xml:space="preserve">Flaw to fix: </w:t>
      </w:r>
      <w:r>
        <w:t xml:space="preserve">beyond the best-model inconsistency (Section 2), the report's own numbers don't quite match the notebook's saved output even where there's no tie being claimed — e.g. the report's Table 1 lists Logistic Regression at accuracy 0.597 / F1 0.440, where the notebook prints 0.598 / 0.441 for the same model. These are tiny (±0.001–0.002) differences, almost certainly from the report being generated on a slightly different run than the notebook's final saved state, but “almost certainly” is not a defensible answer if a marker line-by-line compares Table 1 against the notebook's cell 45 output. Before submitting, rerun the notebook top to bottom one final time and regenerate every number and figure in the report from that exact run.</w:t>
      </w:r>
    </w:p>
    <w:p>
      <w:pPr>
        <w:pStyle w:val="Heading1"/>
        <w:spacing w:after="160" w:before="360"/>
      </w:pPr>
      <w:r>
        <w:t xml:space="preserve">4. Presentation — Where 50% of the Grade Actually Lives</w:t>
      </w:r>
    </w:p>
    <w:p>
      <w:pPr>
        <w:spacing w:after="160" w:line="276"/>
      </w:pPr>
      <w:r>
        <w:t xml:space="preserve">Everything above concerns the 50 marks spread across criteria 1–7. The single largest line item, Presentation (Video and Live Demo), is worth as much as all of those combined, and it cannot be judged from the files — only from the delivery. Two things in the repository are worth flagging specifically because of how this criterion is worded (“the student must be able to explain any part of the project when questioned”):</w:t>
      </w:r>
    </w:p>
    <w:p>
      <w:pPr>
        <w:pStyle w:val="ListParagraph"/>
        <w:numPr>
          <w:ilvl w:val="0"/>
          <w:numId w:val="2"/>
        </w:numPr>
        <w:spacing w:after="100" w:line="276"/>
      </w:pPr>
      <w:r>
        <w:rPr>
          <w:b/>
          <w:bCs/>
        </w:rPr>
        <w:t xml:space="preserve">dashboard/DASHBOARD_GUIDE.md </w:t>
      </w:r>
      <w:r>
        <w:t xml:space="preserve">is written as a script to read from — it tells the reader what to click, what to say almost word-for-word (“This is the interactive version of my model…”), and even pre-writes answers to five anticipated questions. Used as rehearsal notes this is a genuinely useful artifact. Used as a crutch during the actual live demo, it's a liability: if a question comes from an angle the guide didn't anticipate — for example, “walk me through the Elo update formula on the whiteboard” or “why does the margin term use log() instead of the raw goal difference?” — the guide provides no help, and those are exactly the kind of first-principles questions this rubric line rewards.</w:t>
      </w:r>
    </w:p>
    <w:p>
      <w:pPr>
        <w:pStyle w:val="ListParagraph"/>
        <w:numPr>
          <w:ilvl w:val="0"/>
          <w:numId w:val="2"/>
        </w:numPr>
        <w:spacing w:after="100" w:line="276"/>
      </w:pPr>
      <w:r>
        <w:t xml:space="preserve">Several parts of the codebase are more sophisticated than typical coursework — the Elo margin weighting (log(|goal diff|+1) capped at a floor of 1), the permutation-importance cross-check, the chronological-split leakage argument, and the Streamlit session-state synchronisation logic in app.py (the block handling “_synced_pair”) are all non-trivial design decisions with real reasoning behind them. The AI-usage disclosure at the end of the notebook and README is honest and exactly what the assignment brief asks for — good practice, not a problem in itself. But it raises the bar on live explanation specifically: the brief says AI-assisted code still requires the student to “explain every line,” and the more sophisticated a piece of code is, the easier it is to expose a shallow understanding of it under direct questioning.</w:t>
      </w:r>
    </w:p>
    <w:p>
      <w:pPr>
        <w:spacing w:after="160" w:line="276"/>
      </w:pPr>
      <w:r>
        <w:t xml:space="preserve">Concretely, before the live session: be able to derive the Elo expected-score formula from scratch on request, explain in your own words (not the guide's words) why margin uses a log rather than linear scale, explain why the train/test split is chronological rather than random and what “leakage” would look like concretely if it were random, and be ready to address the Random-Forest-vs-Gradient-Boosting inconsistency directly — “we caught this while preparing for today and here's the corrected justification” is a strong answer if Section 2 is fixed before submission; being caught by the marker's own comparison first is not.</w:t>
      </w:r>
    </w:p>
    <w:p>
      <w:pPr>
        <w:pStyle w:val="Heading1"/>
        <w:spacing w:after="160" w:before="360"/>
      </w:pPr>
      <w:r>
        <w:t xml:space="preserve">5. Priority Fix List Before the 17 July Deadline</w:t>
      </w:r>
    </w:p>
    <w:p>
      <w:pPr>
        <w:pStyle w:val="ListParagraph"/>
        <w:numPr>
          <w:ilvl w:val="0"/>
          <w:numId w:val="2"/>
        </w:numPr>
        <w:spacing w:after="100" w:line="276"/>
      </w:pPr>
      <w:r>
        <w:rPr>
          <w:b/>
          <w:bCs/>
        </w:rPr>
        <w:t xml:space="preserve">1. </w:t>
      </w:r>
      <w:r>
        <w:t xml:space="preserve">Resolve the Random Forest vs Gradient Boosting inconsistency (Section 2). Either relabel Gradient Boosting as the selected model and rebuild the “why teams win” section around it, or keep Random Forest and replace the false “tie” with a real justification. This touches the notebook, the report, and the slide deck — all three need to agree.</w:t>
      </w:r>
    </w:p>
    <w:p>
      <w:pPr>
        <w:pStyle w:val="ListParagraph"/>
        <w:numPr>
          <w:ilvl w:val="0"/>
          <w:numId w:val="2"/>
        </w:numPr>
        <w:spacing w:after="100" w:line="276"/>
      </w:pPr>
      <w:r>
        <w:rPr>
          <w:b/>
          <w:bCs/>
        </w:rPr>
        <w:t xml:space="preserve">2. </w:t>
      </w:r>
      <w:r>
        <w:t xml:space="preserve">Rerun the notebook top to bottom one final time and regenerate every report/deck number and figure from that exact run, so nothing in the submitted PDF/DOCX can be shown to disagree with the submitted notebook.</w:t>
      </w:r>
    </w:p>
    <w:p>
      <w:pPr>
        <w:pStyle w:val="ListParagraph"/>
        <w:numPr>
          <w:ilvl w:val="0"/>
          <w:numId w:val="2"/>
        </w:numPr>
        <w:spacing w:after="100" w:line="276"/>
      </w:pPr>
      <w:r>
        <w:rPr>
          <w:b/>
          <w:bCs/>
        </w:rPr>
        <w:t xml:space="preserve">3. </w:t>
      </w:r>
      <w:r>
        <w:t xml:space="preserve">Add one sentence to the report documenting exactly where the 2018–2026 match rows came from, given the cited Kaggle URL's slug says the source dataset ends in 2017.</w:t>
      </w:r>
    </w:p>
    <w:p>
      <w:pPr>
        <w:pStyle w:val="ListParagraph"/>
        <w:numPr>
          <w:ilvl w:val="0"/>
          <w:numId w:val="2"/>
        </w:numPr>
        <w:spacing w:after="100" w:line="276"/>
      </w:pPr>
      <w:r>
        <w:rPr>
          <w:b/>
          <w:bCs/>
        </w:rPr>
        <w:t xml:space="preserve">4. </w:t>
      </w:r>
      <w:r>
        <w:t xml:space="preserve">Fix the seaborn FutureWarning in the box-plot cell (hue="Result", legend=False) so the notebook is warning-clean, not just error-clean.</w:t>
      </w:r>
    </w:p>
    <w:p>
      <w:pPr>
        <w:pStyle w:val="ListParagraph"/>
        <w:numPr>
          <w:ilvl w:val="0"/>
          <w:numId w:val="2"/>
        </w:numPr>
        <w:spacing w:after="100" w:line="276"/>
      </w:pPr>
      <w:r>
        <w:rPr>
          <w:b/>
          <w:bCs/>
        </w:rPr>
        <w:t xml:space="preserve">5. </w:t>
      </w:r>
      <w:r>
        <w:t xml:space="preserve">Actually try class_weight="balanced" on at least one model and report whether it improves Draw recall — cheap to do, and converts a named-but-untried limitation into a tested one.</w:t>
      </w:r>
    </w:p>
    <w:p>
      <w:pPr>
        <w:pStyle w:val="ListParagraph"/>
        <w:numPr>
          <w:ilvl w:val="0"/>
          <w:numId w:val="2"/>
        </w:numPr>
        <w:spacing w:after="100" w:line="276"/>
      </w:pPr>
      <w:r>
        <w:rPr>
          <w:b/>
          <w:bCs/>
        </w:rPr>
        <w:t xml:space="preserve">6. </w:t>
      </w:r>
      <w:r>
        <w:t xml:space="preserve">Rehearse the live demo without DASHBOARD_GUIDE.md open, and specifically rehearse explaining the Elo formula, the leakage argument, and the model-selection fix out loud, unscripted.</w:t>
      </w:r>
    </w:p>
    <w:p>
      <w:pPr>
        <w:pStyle w:val="ListParagraph"/>
        <w:numPr>
          <w:ilvl w:val="0"/>
          <w:numId w:val="2"/>
        </w:numPr>
        <w:spacing w:after="100" w:line="276"/>
      </w:pPr>
      <w:r>
        <w:rPr>
          <w:b/>
          <w:bCs/>
        </w:rPr>
        <w:t xml:space="preserve">7. </w:t>
      </w:r>
      <w:r>
        <w:t xml:space="preserve">Confirm the outstanding submission mechanics are done: recorded video walkthrough uploaded to YouTube (link-only, per the brief), and the final ZIP containing code, dataset/link, report, GitHub link, and YouTube link.</w:t>
      </w:r>
    </w:p>
    <w:p>
      <w:pPr>
        <w:spacing w:after="100"/>
      </w:pPr>
    </w:p>
    <w:p>
      <w:pPr>
        <w:spacing w:after="160" w:line="276"/>
      </w:pPr>
      <w:r>
        <w:rPr>
          <w:i/>
          <w:iCs/>
          <w:color w:val="595959"/>
        </w:rPr>
        <w:t xml:space="preserve">Overall: the analytical work here is well above the bar this rubric is written for. The fixes above are about closing the gap between what was actually computed and what the report/deck claim was computed — a few hours of careful reconciliation, not a rebuild.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2026-07-16T12:24:09.026Z</dcterms:created>
  <dcterms:modified xsi:type="dcterms:W3CDTF">2026-07-16T12:24:09.034Z</dcterms:modified>
</cp:coreProperties>
</file>

<file path=docProps/custom.xml><?xml version="1.0" encoding="utf-8"?>
<Properties xmlns="http://schemas.openxmlformats.org/officeDocument/2006/custom-properties" xmlns:vt="http://schemas.openxmlformats.org/officeDocument/2006/docPropsVTypes"/>
</file>