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color w:val="C9A84C"/>
          <w:sz w:val="44"/>
          <w:szCs w:val="44"/>
        </w:rPr>
        <w:t xml:space="preserve">RANKUR</w:t>
      </w:r>
    </w:p>
    <w:p>
      <w:pPr>
        <w:spacing w:after="200" w:before="0"/>
        <w:jc w:val="center"/>
      </w:pPr>
      <w:r>
        <w:rPr>
          <w:rFonts w:ascii="Calibri" w:cs="Calibri" w:eastAsia="Calibri" w:hAnsi="Calibri"/>
          <w:b/>
          <w:bCs/>
          <w:color w:val="0A0A0A"/>
          <w:sz w:val="28"/>
          <w:szCs w:val="28"/>
        </w:rPr>
        <w:t xml:space="preserve">Google Business Profile (GMB) &amp; Entity Authority Master Blueprint</w:t>
      </w:r>
    </w:p>
    <w:p>
      <w:pPr>
        <w:spacing w:after="400" w:before="0"/>
        <w:jc w:val="center"/>
      </w:pPr>
      <w:r>
        <w:rPr>
          <w:rFonts w:ascii="Calibri" w:cs="Calibri" w:eastAsia="Calibri" w:hAnsi="Calibri"/>
          <w:i/>
          <w:iCs/>
          <w:color w:val="555555"/>
          <w:sz w:val="20"/>
          <w:szCs w:val="20"/>
        </w:rPr>
        <w:t xml:space="preserve">High-Impact Local Citation, Knowledge Graph Grounding &amp; Backlink Multiplier System</w:t>
      </w:r>
    </w:p>
    <w:p>
      <w:pPr>
        <w:spacing w:after="300" w:before="100"/>
      </w:pPr>
      <w:r>
        <w:rPr>
          <w:b/>
          <w:bCs/>
          <w:color w:val="C9A84C"/>
        </w:rPr>
        <w:t xml:space="preserve">_________________________________________________________________________________</w:t>
      </w:r>
    </w:p>
    <w:p>
      <w:pPr>
        <w:pStyle w:val="Heading1"/>
        <w:spacing w:after="150" w:before="300"/>
      </w:pPr>
      <w:r>
        <w:rPr>
          <w:b/>
          <w:bCs/>
          <w:color w:val="0A0A0A"/>
          <w:sz w:val="28"/>
          <w:szCs w:val="28"/>
        </w:rPr>
        <w:t xml:space="preserve">1. Executive Strategy: Why Google Business Profile is Essential for Rankur</w:t>
      </w:r>
    </w:p>
    <w:p>
      <w:pPr>
        <w:spacing w:after="150" w:before="0"/>
      </w:pPr>
      <w:r>
        <w:t xml:space="preserve">A Google Business Profile (GMB) is not merely for local brick-and-mortar storefronts; it is the primary physical and legal entity node in Google’s Knowledge Graph. By claiming, verifying, and heavily optimizing Rankur’s Google Business Profile, we accomplish three transformative SEO and authority objectives:</w:t>
      </w:r>
    </w:p>
    <w:p>
      <w:pPr>
        <w:pStyle w:val="ListParagraph"/>
        <w:numPr>
          <w:ilvl w:val="0"/>
          <w:numId w:val="1"/>
        </w:numPr>
        <w:spacing w:after="50" w:before="50"/>
      </w:pPr>
      <w:r>
        <w:rPr>
          <w:b/>
          <w:bCs/>
          <w:color w:val="C9A84C"/>
        </w:rPr>
        <w:t xml:space="preserve">Entity Grounding: </w:t>
      </w:r>
      <w:r>
        <w:t xml:space="preserve">Google connects the online domain (https://rankursite.com), the MSME corporate registration (Moksh Productions), the founder entity (Moksh Parjapati), and physical contact data into a verified Knowledge Graph entity.</w:t>
      </w:r>
    </w:p>
    <w:p>
      <w:pPr>
        <w:pStyle w:val="ListParagraph"/>
        <w:numPr>
          <w:ilvl w:val="0"/>
          <w:numId w:val="1"/>
        </w:numPr>
        <w:spacing w:after="50" w:before="50"/>
      </w:pPr>
      <w:r>
        <w:rPr>
          <w:b/>
          <w:bCs/>
          <w:color w:val="C9A84C"/>
        </w:rPr>
        <w:t xml:space="preserve">Bidirectional Backlink Anchor: </w:t>
      </w:r>
      <w:r>
        <w:t xml:space="preserve">A verified Google Maps listing generates one of the highest domain-authority backlinks available (authority passed directly from google.com/maps).</w:t>
      </w:r>
    </w:p>
    <w:p>
      <w:pPr>
        <w:pStyle w:val="ListParagraph"/>
        <w:numPr>
          <w:ilvl w:val="0"/>
          <w:numId w:val="1"/>
        </w:numPr>
        <w:spacing w:after="250" w:before="50"/>
      </w:pPr>
      <w:r>
        <w:rPr>
          <w:b/>
          <w:bCs/>
          <w:color w:val="C9A84C"/>
        </w:rPr>
        <w:t xml:space="preserve">Cross-Domain Synergy with Live Clients: </w:t>
      </w:r>
      <w:r>
        <w:t xml:space="preserve">By publishing weekly GMB Posts and Product Catalog entries citing our 5 live production platforms (WizIOT, Atlanta Systems, Medventa, Probiota Innovations, Wafa Trust), we mirror and reinforce the live footer backlinks across the entire Google ecosystem.</w:t>
      </w:r>
    </w:p>
    <w:p>
      <w:pPr>
        <w:pStyle w:val="Heading1"/>
        <w:spacing w:after="150" w:before="300"/>
      </w:pPr>
      <w:r>
        <w:rPr>
          <w:b/>
          <w:bCs/>
          <w:color w:val="0A0A0A"/>
          <w:sz w:val="28"/>
          <w:szCs w:val="28"/>
        </w:rPr>
        <w:t xml:space="preserve">2. Core Google Business Profile Specifications (Copy &amp; Paste Ready)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1A1A1A" w:val="clear"/>
            <w:tcMar>
              <w:top w:type="dxa" w:w="140"/>
              <w:left w:type="dxa" w:w="200"/>
              <w:bottom w:type="dxa" w:w="140"/>
              <w:right w:type="dxa" w:w="200"/>
            </w:tcMar>
          </w:tcPr>
          <w:p>
            <w:r>
              <w:rPr>
                <w:rFonts w:ascii="Calibri" w:cs="Calibri" w:eastAsia="Calibri" w:hAnsi="Calibri"/>
                <w:b/>
                <w:bCs/>
                <w:color w:val="FFFFFF"/>
                <w:sz w:val="21"/>
                <w:szCs w:val="21"/>
              </w:rPr>
              <w:t xml:space="preserve">Business Name</w:t>
            </w:r>
          </w:p>
        </w:tc>
        <w:tc>
          <w:tcPr>
            <w:tcW w:type="pct" w:w="70%"/>
            <w:tcBorders>
              <w:top w:val="single" w:color="E0E0E0" w:sz="1"/>
              <w:left w:val="single" w:color="E0E0E0" w:sz="1"/>
              <w:bottom w:val="single" w:color="E0E0E0" w:sz="1"/>
              <w:right w:val="single" w:color="E0E0E0" w:sz="1"/>
            </w:tcBorders>
            <w:tcMar>
              <w:top w:type="dxa" w:w="140"/>
              <w:left w:type="dxa" w:w="200"/>
              <w:bottom w:type="dxa" w:w="140"/>
              <w:right w:type="dxa" w:w="200"/>
            </w:tcMar>
          </w:tcPr>
          <w:p>
            <w:r>
              <w:rPr>
                <w:rFonts w:ascii="Calibri" w:cs="Calibri" w:eastAsia="Calibri" w:hAnsi="Calibri"/>
                <w:b w:val="false"/>
                <w:bCs w:val="false"/>
                <w:color w:val="333333"/>
                <w:sz w:val="20"/>
                <w:szCs w:val="20"/>
              </w:rPr>
              <w:t xml:space="preserve">Rankur - B2B Web Design &amp; Growth Infrastructure</w:t>
            </w:r>
          </w:p>
        </w:tc>
      </w:tr>
      <w:tr>
        <w:tc>
          <w:tcPr>
            <w:tcW w:type="pct" w:w="30%"/>
            <w:shd w:fill="1A1A1A" w:val="clear"/>
            <w:tcMar>
              <w:top w:type="dxa" w:w="140"/>
              <w:left w:type="dxa" w:w="200"/>
              <w:bottom w:type="dxa" w:w="140"/>
              <w:right w:type="dxa" w:w="200"/>
            </w:tcMar>
          </w:tcPr>
          <w:p>
            <w:r>
              <w:rPr>
                <w:rFonts w:ascii="Calibri" w:cs="Calibri" w:eastAsia="Calibri" w:hAnsi="Calibri"/>
                <w:b/>
                <w:bCs/>
                <w:color w:val="FFFFFF"/>
                <w:sz w:val="21"/>
                <w:szCs w:val="21"/>
              </w:rPr>
              <w:t xml:space="preserve">Parent Organization</w:t>
            </w:r>
          </w:p>
        </w:tc>
        <w:tc>
          <w:tcPr>
            <w:tcW w:type="pct" w:w="70%"/>
            <w:tcBorders>
              <w:top w:val="single" w:color="E0E0E0" w:sz="1"/>
              <w:left w:val="single" w:color="E0E0E0" w:sz="1"/>
              <w:bottom w:val="single" w:color="E0E0E0" w:sz="1"/>
              <w:right w:val="single" w:color="E0E0E0" w:sz="1"/>
            </w:tcBorders>
            <w:tcMar>
              <w:top w:type="dxa" w:w="140"/>
              <w:left w:type="dxa" w:w="200"/>
              <w:bottom w:type="dxa" w:w="140"/>
              <w:right w:type="dxa" w:w="200"/>
            </w:tcMar>
          </w:tcPr>
          <w:p>
            <w:r>
              <w:rPr>
                <w:rFonts w:ascii="Calibri" w:cs="Calibri" w:eastAsia="Calibri" w:hAnsi="Calibri"/>
                <w:b w:val="false"/>
                <w:bCs w:val="false"/>
                <w:color w:val="333333"/>
                <w:sz w:val="20"/>
                <w:szCs w:val="20"/>
              </w:rPr>
              <w:t xml:space="preserve">Moksh Productions (MSME-Registered Enterprise, India)</w:t>
            </w:r>
          </w:p>
        </w:tc>
      </w:tr>
      <w:tr>
        <w:tc>
          <w:tcPr>
            <w:tcW w:type="pct" w:w="30%"/>
            <w:shd w:fill="1A1A1A" w:val="clear"/>
            <w:tcMar>
              <w:top w:type="dxa" w:w="140"/>
              <w:left w:type="dxa" w:w="200"/>
              <w:bottom w:type="dxa" w:w="140"/>
              <w:right w:type="dxa" w:w="200"/>
            </w:tcMar>
          </w:tcPr>
          <w:p>
            <w:r>
              <w:rPr>
                <w:rFonts w:ascii="Calibri" w:cs="Calibri" w:eastAsia="Calibri" w:hAnsi="Calibri"/>
                <w:b/>
                <w:bCs/>
                <w:color w:val="FFFFFF"/>
                <w:sz w:val="21"/>
                <w:szCs w:val="21"/>
              </w:rPr>
              <w:t xml:space="preserve">Primary Category</w:t>
            </w:r>
          </w:p>
        </w:tc>
        <w:tc>
          <w:tcPr>
            <w:tcW w:type="pct" w:w="70%"/>
            <w:tcBorders>
              <w:top w:val="single" w:color="E0E0E0" w:sz="1"/>
              <w:left w:val="single" w:color="E0E0E0" w:sz="1"/>
              <w:bottom w:val="single" w:color="E0E0E0" w:sz="1"/>
              <w:right w:val="single" w:color="E0E0E0" w:sz="1"/>
            </w:tcBorders>
            <w:tcMar>
              <w:top w:type="dxa" w:w="140"/>
              <w:left w:type="dxa" w:w="200"/>
              <w:bottom w:type="dxa" w:w="140"/>
              <w:right w:type="dxa" w:w="200"/>
            </w:tcMar>
          </w:tcPr>
          <w:p>
            <w:r>
              <w:rPr>
                <w:rFonts w:ascii="Calibri" w:cs="Calibri" w:eastAsia="Calibri" w:hAnsi="Calibri"/>
                <w:b w:val="false"/>
                <w:bCs w:val="false"/>
                <w:color w:val="333333"/>
                <w:sz w:val="20"/>
                <w:szCs w:val="20"/>
              </w:rPr>
              <w:t xml:space="preserve">Website Designer</w:t>
            </w:r>
          </w:p>
        </w:tc>
      </w:tr>
      <w:tr>
        <w:tc>
          <w:tcPr>
            <w:tcW w:type="pct" w:w="30%"/>
            <w:shd w:fill="1A1A1A" w:val="clear"/>
            <w:tcMar>
              <w:top w:type="dxa" w:w="140"/>
              <w:left w:type="dxa" w:w="200"/>
              <w:bottom w:type="dxa" w:w="140"/>
              <w:right w:type="dxa" w:w="200"/>
            </w:tcMar>
          </w:tcPr>
          <w:p>
            <w:r>
              <w:rPr>
                <w:rFonts w:ascii="Calibri" w:cs="Calibri" w:eastAsia="Calibri" w:hAnsi="Calibri"/>
                <w:b/>
                <w:bCs/>
                <w:color w:val="FFFFFF"/>
                <w:sz w:val="21"/>
                <w:szCs w:val="21"/>
              </w:rPr>
              <w:t xml:space="preserve">Secondary Categories</w:t>
            </w:r>
          </w:p>
        </w:tc>
        <w:tc>
          <w:tcPr>
            <w:tcW w:type="pct" w:w="70%"/>
            <w:tcBorders>
              <w:top w:val="single" w:color="E0E0E0" w:sz="1"/>
              <w:left w:val="single" w:color="E0E0E0" w:sz="1"/>
              <w:bottom w:val="single" w:color="E0E0E0" w:sz="1"/>
              <w:right w:val="single" w:color="E0E0E0" w:sz="1"/>
            </w:tcBorders>
            <w:tcMar>
              <w:top w:type="dxa" w:w="140"/>
              <w:left w:type="dxa" w:w="200"/>
              <w:bottom w:type="dxa" w:w="140"/>
              <w:right w:type="dxa" w:w="200"/>
            </w:tcMar>
          </w:tcPr>
          <w:p>
            <w:r>
              <w:rPr>
                <w:rFonts w:ascii="Calibri" w:cs="Calibri" w:eastAsia="Calibri" w:hAnsi="Calibri"/>
                <w:b w:val="false"/>
                <w:bCs w:val="false"/>
                <w:color w:val="333333"/>
                <w:sz w:val="20"/>
                <w:szCs w:val="20"/>
              </w:rPr>
              <w:t xml:space="preserve">• Internet Marketing Service
• Marketing Consultant
• Software Company
• E-Commerce Service
• Business Management Consultant</w:t>
            </w:r>
          </w:p>
        </w:tc>
      </w:tr>
      <w:tr>
        <w:tc>
          <w:tcPr>
            <w:tcW w:type="pct" w:w="30%"/>
            <w:shd w:fill="1A1A1A" w:val="clear"/>
            <w:tcMar>
              <w:top w:type="dxa" w:w="140"/>
              <w:left w:type="dxa" w:w="200"/>
              <w:bottom w:type="dxa" w:w="140"/>
              <w:right w:type="dxa" w:w="200"/>
            </w:tcMar>
          </w:tcPr>
          <w:p>
            <w:r>
              <w:rPr>
                <w:rFonts w:ascii="Calibri" w:cs="Calibri" w:eastAsia="Calibri" w:hAnsi="Calibri"/>
                <w:b/>
                <w:bCs/>
                <w:color w:val="FFFFFF"/>
                <w:sz w:val="21"/>
                <w:szCs w:val="21"/>
              </w:rPr>
              <w:t xml:space="preserve">Business Description
(Optimized for 750 Chars)</w:t>
            </w:r>
          </w:p>
        </w:tc>
        <w:tc>
          <w:tcPr>
            <w:tcW w:type="pct" w:w="70%"/>
            <w:tcBorders>
              <w:top w:val="single" w:color="E0E0E0" w:sz="1"/>
              <w:left w:val="single" w:color="E0E0E0" w:sz="1"/>
              <w:bottom w:val="single" w:color="E0E0E0" w:sz="1"/>
              <w:right w:val="single" w:color="E0E0E0" w:sz="1"/>
            </w:tcBorders>
            <w:tcMar>
              <w:top w:type="dxa" w:w="140"/>
              <w:left w:type="dxa" w:w="200"/>
              <w:bottom w:type="dxa" w:w="140"/>
              <w:right w:type="dxa" w:w="200"/>
            </w:tcMar>
          </w:tcPr>
          <w:p>
            <w:r>
              <w:rPr>
                <w:rFonts w:ascii="Calibri" w:cs="Calibri" w:eastAsia="Calibri" w:hAnsi="Calibri"/>
                <w:b w:val="false"/>
                <w:bCs w:val="false"/>
                <w:color w:val="333333"/>
                <w:sz w:val="20"/>
                <w:szCs w:val="20"/>
              </w:rPr>
              <w:t xml:space="preserve">Rankur is a founder-led B2B web design and growth consultancy operated by Moksh Parjapati under MSME-registered Moksh Productions. We build custom React &amp; Next.js 16 web applications with sub-1.2s global load times, technical SEO, and Generative Engine Optimization (GEO) for founders across the US, UK, Australia, Canada, and GCC.
With over 2,280+ static pages actively deployed in production, Rankur is the architecture studio behind verified enterprise platforms including WizIOT (Fleet Telematics &amp; IoT Hardware), Atlanta Systems (AIS-140 GPS Manufacturer), Medventa (B2B Surgical Supplies), and Probiota Innovations (US-FDA Probiotic CDMO). Backed by a 100% money-back guarantee.</w:t>
            </w:r>
          </w:p>
        </w:tc>
      </w:tr>
      <w:tr>
        <w:tc>
          <w:tcPr>
            <w:tcW w:type="pct" w:w="30%"/>
            <w:shd w:fill="1A1A1A" w:val="clear"/>
            <w:tcMar>
              <w:top w:type="dxa" w:w="140"/>
              <w:left w:type="dxa" w:w="200"/>
              <w:bottom w:type="dxa" w:w="140"/>
              <w:right w:type="dxa" w:w="200"/>
            </w:tcMar>
          </w:tcPr>
          <w:p>
            <w:r>
              <w:rPr>
                <w:rFonts w:ascii="Calibri" w:cs="Calibri" w:eastAsia="Calibri" w:hAnsi="Calibri"/>
                <w:b/>
                <w:bCs/>
                <w:color w:val="FFFFFF"/>
                <w:sz w:val="21"/>
                <w:szCs w:val="21"/>
              </w:rPr>
              <w:t xml:space="preserve">Contact Phone</w:t>
            </w:r>
          </w:p>
        </w:tc>
        <w:tc>
          <w:tcPr>
            <w:tcW w:type="pct" w:w="70%"/>
            <w:tcBorders>
              <w:top w:val="single" w:color="E0E0E0" w:sz="1"/>
              <w:left w:val="single" w:color="E0E0E0" w:sz="1"/>
              <w:bottom w:val="single" w:color="E0E0E0" w:sz="1"/>
              <w:right w:val="single" w:color="E0E0E0" w:sz="1"/>
            </w:tcBorders>
            <w:tcMar>
              <w:top w:type="dxa" w:w="140"/>
              <w:left w:type="dxa" w:w="200"/>
              <w:bottom w:type="dxa" w:w="140"/>
              <w:right w:type="dxa" w:w="200"/>
            </w:tcMar>
          </w:tcPr>
          <w:p>
            <w:r>
              <w:rPr>
                <w:rFonts w:ascii="Calibri" w:cs="Calibri" w:eastAsia="Calibri" w:hAnsi="Calibri"/>
                <w:b w:val="false"/>
                <w:bCs w:val="false"/>
                <w:color w:val="333333"/>
                <w:sz w:val="20"/>
                <w:szCs w:val="20"/>
              </w:rPr>
              <w:t xml:space="preserve">+91 95600 76090</w:t>
            </w:r>
          </w:p>
        </w:tc>
      </w:tr>
      <w:tr>
        <w:tc>
          <w:tcPr>
            <w:tcW w:type="pct" w:w="30%"/>
            <w:shd w:fill="1A1A1A" w:val="clear"/>
            <w:tcMar>
              <w:top w:type="dxa" w:w="140"/>
              <w:left w:type="dxa" w:w="200"/>
              <w:bottom w:type="dxa" w:w="140"/>
              <w:right w:type="dxa" w:w="200"/>
            </w:tcMar>
          </w:tcPr>
          <w:p>
            <w:r>
              <w:rPr>
                <w:rFonts w:ascii="Calibri" w:cs="Calibri" w:eastAsia="Calibri" w:hAnsi="Calibri"/>
                <w:b/>
                <w:bCs/>
                <w:color w:val="FFFFFF"/>
                <w:sz w:val="21"/>
                <w:szCs w:val="21"/>
              </w:rPr>
              <w:t xml:space="preserve">Official Email</w:t>
            </w:r>
          </w:p>
        </w:tc>
        <w:tc>
          <w:tcPr>
            <w:tcW w:type="pct" w:w="70%"/>
            <w:tcBorders>
              <w:top w:val="single" w:color="E0E0E0" w:sz="1"/>
              <w:left w:val="single" w:color="E0E0E0" w:sz="1"/>
              <w:bottom w:val="single" w:color="E0E0E0" w:sz="1"/>
              <w:right w:val="single" w:color="E0E0E0" w:sz="1"/>
            </w:tcBorders>
            <w:tcMar>
              <w:top w:type="dxa" w:w="140"/>
              <w:left w:type="dxa" w:w="200"/>
              <w:bottom w:type="dxa" w:w="140"/>
              <w:right w:type="dxa" w:w="200"/>
            </w:tcMar>
          </w:tcPr>
          <w:p>
            <w:r>
              <w:rPr>
                <w:rFonts w:ascii="Calibri" w:cs="Calibri" w:eastAsia="Calibri" w:hAnsi="Calibri"/>
                <w:b w:val="false"/>
                <w:bCs w:val="false"/>
                <w:color w:val="333333"/>
                <w:sz w:val="20"/>
                <w:szCs w:val="20"/>
              </w:rPr>
              <w:t xml:space="preserve">contactus@rankursite.com</w:t>
            </w:r>
          </w:p>
        </w:tc>
      </w:tr>
      <w:tr>
        <w:tc>
          <w:tcPr>
            <w:tcW w:type="pct" w:w="30%"/>
            <w:shd w:fill="1A1A1A" w:val="clear"/>
            <w:tcMar>
              <w:top w:type="dxa" w:w="140"/>
              <w:left w:type="dxa" w:w="200"/>
              <w:bottom w:type="dxa" w:w="140"/>
              <w:right w:type="dxa" w:w="200"/>
            </w:tcMar>
          </w:tcPr>
          <w:p>
            <w:r>
              <w:rPr>
                <w:rFonts w:ascii="Calibri" w:cs="Calibri" w:eastAsia="Calibri" w:hAnsi="Calibri"/>
                <w:b/>
                <w:bCs/>
                <w:color w:val="FFFFFF"/>
                <w:sz w:val="21"/>
                <w:szCs w:val="21"/>
              </w:rPr>
              <w:t xml:space="preserve">Website URL</w:t>
            </w:r>
          </w:p>
        </w:tc>
        <w:tc>
          <w:tcPr>
            <w:tcW w:type="pct" w:w="70%"/>
            <w:tcBorders>
              <w:top w:val="single" w:color="E0E0E0" w:sz="1"/>
              <w:left w:val="single" w:color="E0E0E0" w:sz="1"/>
              <w:bottom w:val="single" w:color="E0E0E0" w:sz="1"/>
              <w:right w:val="single" w:color="E0E0E0" w:sz="1"/>
            </w:tcBorders>
            <w:tcMar>
              <w:top w:type="dxa" w:w="140"/>
              <w:left w:type="dxa" w:w="200"/>
              <w:bottom w:type="dxa" w:w="140"/>
              <w:right w:type="dxa" w:w="200"/>
            </w:tcMar>
          </w:tcPr>
          <w:p>
            <w:r>
              <w:rPr>
                <w:rFonts w:ascii="Calibri" w:cs="Calibri" w:eastAsia="Calibri" w:hAnsi="Calibri"/>
                <w:b w:val="false"/>
                <w:bCs w:val="false"/>
                <w:color w:val="333333"/>
                <w:sz w:val="20"/>
                <w:szCs w:val="20"/>
              </w:rPr>
              <w:t xml:space="preserve">https://rankursite.com?utm_source=gmb&amp;utm_medium=organic&amp;utm_campaign=gmb_listing</w:t>
            </w:r>
          </w:p>
        </w:tc>
      </w:tr>
      <w:tr>
        <w:tc>
          <w:tcPr>
            <w:tcW w:type="pct" w:w="30%"/>
            <w:shd w:fill="1A1A1A" w:val="clear"/>
            <w:tcMar>
              <w:top w:type="dxa" w:w="140"/>
              <w:left w:type="dxa" w:w="200"/>
              <w:bottom w:type="dxa" w:w="140"/>
              <w:right w:type="dxa" w:w="200"/>
            </w:tcMar>
          </w:tcPr>
          <w:p>
            <w:r>
              <w:rPr>
                <w:rFonts w:ascii="Calibri" w:cs="Calibri" w:eastAsia="Calibri" w:hAnsi="Calibri"/>
                <w:b/>
                <w:bCs/>
                <w:color w:val="FFFFFF"/>
                <w:sz w:val="21"/>
                <w:szCs w:val="21"/>
              </w:rPr>
              <w:t xml:space="preserve">Appointment / Audit URL</w:t>
            </w:r>
          </w:p>
        </w:tc>
        <w:tc>
          <w:tcPr>
            <w:tcW w:type="pct" w:w="70%"/>
            <w:tcBorders>
              <w:top w:val="single" w:color="E0E0E0" w:sz="1"/>
              <w:left w:val="single" w:color="E0E0E0" w:sz="1"/>
              <w:bottom w:val="single" w:color="E0E0E0" w:sz="1"/>
              <w:right w:val="single" w:color="E0E0E0" w:sz="1"/>
            </w:tcBorders>
            <w:tcMar>
              <w:top w:type="dxa" w:w="140"/>
              <w:left w:type="dxa" w:w="200"/>
              <w:bottom w:type="dxa" w:w="140"/>
              <w:right w:type="dxa" w:w="200"/>
            </w:tcMar>
          </w:tcPr>
          <w:p>
            <w:r>
              <w:rPr>
                <w:rFonts w:ascii="Calibri" w:cs="Calibri" w:eastAsia="Calibri" w:hAnsi="Calibri"/>
                <w:b w:val="false"/>
                <w:bCs w:val="false"/>
                <w:color w:val="333333"/>
                <w:sz w:val="20"/>
                <w:szCs w:val="20"/>
              </w:rPr>
              <w:t xml:space="preserve">https://rankursite.com/free-audit?utm_source=gmb&amp;utm_medium=organic&amp;utm_campaign=gmb_audit</w:t>
            </w:r>
          </w:p>
        </w:tc>
      </w:tr>
      <w:tr>
        <w:tc>
          <w:tcPr>
            <w:tcW w:type="pct" w:w="30%"/>
            <w:shd w:fill="1A1A1A" w:val="clear"/>
            <w:tcMar>
              <w:top w:type="dxa" w:w="140"/>
              <w:left w:type="dxa" w:w="200"/>
              <w:bottom w:type="dxa" w:w="140"/>
              <w:right w:type="dxa" w:w="200"/>
            </w:tcMar>
          </w:tcPr>
          <w:p>
            <w:r>
              <w:rPr>
                <w:rFonts w:ascii="Calibri" w:cs="Calibri" w:eastAsia="Calibri" w:hAnsi="Calibri"/>
                <w:b/>
                <w:bCs/>
                <w:color w:val="FFFFFF"/>
                <w:sz w:val="21"/>
                <w:szCs w:val="21"/>
              </w:rPr>
              <w:t xml:space="preserve">Service Areas
(Domestic &amp; Global)</w:t>
            </w:r>
          </w:p>
        </w:tc>
        <w:tc>
          <w:tcPr>
            <w:tcW w:type="pct" w:w="70%"/>
            <w:tcBorders>
              <w:top w:val="single" w:color="E0E0E0" w:sz="1"/>
              <w:left w:val="single" w:color="E0E0E0" w:sz="1"/>
              <w:bottom w:val="single" w:color="E0E0E0" w:sz="1"/>
              <w:right w:val="single" w:color="E0E0E0" w:sz="1"/>
            </w:tcBorders>
            <w:tcMar>
              <w:top w:type="dxa" w:w="140"/>
              <w:left w:type="dxa" w:w="200"/>
              <w:bottom w:type="dxa" w:w="140"/>
              <w:right w:type="dxa" w:w="200"/>
            </w:tcMar>
          </w:tcPr>
          <w:p>
            <w:r>
              <w:rPr>
                <w:rFonts w:ascii="Calibri" w:cs="Calibri" w:eastAsia="Calibri" w:hAnsi="Calibri"/>
                <w:b w:val="false"/>
                <w:bCs w:val="false"/>
                <w:color w:val="333333"/>
                <w:sz w:val="20"/>
                <w:szCs w:val="20"/>
              </w:rPr>
              <w:t xml:space="preserve">• Delhi NCR, Gurgaon, Noida, Bangalore, Mumbai, Hyderabad
• International: United States, United Kingdom, Canada, Australia, UAE (Dubai/Abu Dhabi), Saudi Arabia (Riyadh)</w:t>
            </w:r>
          </w:p>
        </w:tc>
      </w:tr>
      <w:tr>
        <w:tc>
          <w:tcPr>
            <w:tcW w:type="pct" w:w="30%"/>
            <w:shd w:fill="1A1A1A" w:val="clear"/>
            <w:tcMar>
              <w:top w:type="dxa" w:w="140"/>
              <w:left w:type="dxa" w:w="200"/>
              <w:bottom w:type="dxa" w:w="140"/>
              <w:right w:type="dxa" w:w="200"/>
            </w:tcMar>
          </w:tcPr>
          <w:p>
            <w:r>
              <w:rPr>
                <w:rFonts w:ascii="Calibri" w:cs="Calibri" w:eastAsia="Calibri" w:hAnsi="Calibri"/>
                <w:b/>
                <w:bCs/>
                <w:color w:val="FFFFFF"/>
                <w:sz w:val="21"/>
                <w:szCs w:val="21"/>
              </w:rPr>
              <w:t xml:space="preserve">Operating Hours</w:t>
            </w:r>
          </w:p>
        </w:tc>
        <w:tc>
          <w:tcPr>
            <w:tcW w:type="pct" w:w="70%"/>
            <w:tcBorders>
              <w:top w:val="single" w:color="E0E0E0" w:sz="1"/>
              <w:left w:val="single" w:color="E0E0E0" w:sz="1"/>
              <w:bottom w:val="single" w:color="E0E0E0" w:sz="1"/>
              <w:right w:val="single" w:color="E0E0E0" w:sz="1"/>
            </w:tcBorders>
            <w:tcMar>
              <w:top w:type="dxa" w:w="140"/>
              <w:left w:type="dxa" w:w="200"/>
              <w:bottom w:type="dxa" w:w="140"/>
              <w:right w:type="dxa" w:w="200"/>
            </w:tcMar>
          </w:tcPr>
          <w:p>
            <w:r>
              <w:rPr>
                <w:rFonts w:ascii="Calibri" w:cs="Calibri" w:eastAsia="Calibri" w:hAnsi="Calibri"/>
                <w:b w:val="false"/>
                <w:bCs w:val="false"/>
                <w:color w:val="333333"/>
                <w:sz w:val="20"/>
                <w:szCs w:val="20"/>
              </w:rPr>
              <w:t xml:space="preserve">Monday – Saturday: 9:00 AM – 7:00 PM IST (Online Client Portal 24/7)</w:t>
            </w:r>
          </w:p>
        </w:tc>
      </w:tr>
    </w:tbl>
    <w:p>
      <w:pPr>
        <w:pStyle w:val="Heading1"/>
        <w:spacing w:after="150" w:before="400"/>
      </w:pPr>
      <w:r>
        <w:rPr>
          <w:b/>
          <w:bCs/>
          <w:color w:val="0A0A0A"/>
          <w:sz w:val="28"/>
          <w:szCs w:val="28"/>
        </w:rPr>
        <w:t xml:space="preserve">3. Google Business Products &amp; Services Catalog Setup</w:t>
      </w:r>
    </w:p>
    <w:p>
      <w:pPr>
        <w:spacing w:after="150" w:before="0"/>
      </w:pPr>
      <w:r>
        <w:t xml:space="preserve">Add the following 4 core offerings to your GMB "Products" section. Each product links directly to Rankur’s corresponding service pages and features verified client proof points:</w:t>
      </w:r>
    </w:p>
    <w:p>
      <w:pPr>
        <w:pStyle w:val="Heading2"/>
        <w:spacing w:after="100" w:before="200"/>
      </w:pPr>
      <w:r>
        <w:rPr>
          <w:b/>
          <w:bCs/>
          <w:color w:val="C9A84C"/>
          <w:sz w:val="24"/>
          <w:szCs w:val="24"/>
        </w:rPr>
        <w:t xml:space="preserve">Product 01: Custom Next.js 16 B2B Web Infrastructure</w:t>
      </w:r>
    </w:p>
    <w:p>
      <w:pPr>
        <w:pStyle w:val="ListParagraph"/>
        <w:numPr>
          <w:ilvl w:val="0"/>
          <w:numId w:val="1"/>
        </w:numPr>
      </w:pPr>
      <w:r>
        <w:rPr>
          <w:b/>
          <w:bCs/>
        </w:rPr>
        <w:t xml:space="preserve">Category: </w:t>
      </w:r>
      <w:r>
        <w:t xml:space="preserve">Web Design &amp; Software Architecture</w:t>
      </w:r>
    </w:p>
    <w:p>
      <w:pPr>
        <w:pStyle w:val="ListParagraph"/>
        <w:numPr>
          <w:ilvl w:val="0"/>
          <w:numId w:val="1"/>
        </w:numPr>
      </w:pPr>
      <w:r>
        <w:rPr>
          <w:b/>
          <w:bCs/>
        </w:rPr>
        <w:t xml:space="preserve">Price: </w:t>
      </w:r>
      <w:r>
        <w:t xml:space="preserve">Custom Quote / Tailored Sprint</w:t>
      </w:r>
    </w:p>
    <w:p>
      <w:pPr>
        <w:pStyle w:val="ListParagraph"/>
        <w:numPr>
          <w:ilvl w:val="0"/>
          <w:numId w:val="1"/>
        </w:numPr>
      </w:pPr>
      <w:r>
        <w:rPr>
          <w:b/>
          <w:bCs/>
        </w:rPr>
        <w:t xml:space="preserve">Landing Page URL: </w:t>
      </w:r>
      <w:r>
        <w:t xml:space="preserve">https://rankursite.com/services</w:t>
      </w:r>
    </w:p>
    <w:p>
      <w:pPr>
        <w:pStyle w:val="ListParagraph"/>
        <w:numPr>
          <w:ilvl w:val="0"/>
          <w:numId w:val="1"/>
        </w:numPr>
      </w:pPr>
      <w:r>
        <w:rPr>
          <w:b/>
          <w:bCs/>
        </w:rPr>
        <w:t xml:space="preserve">Product Description: </w:t>
      </w:r>
      <w:r>
        <w:t xml:space="preserve">We design and code bespoke B2B web applications using React and Next.js 16 with sub-1.2s global speeds, PostgreSQL data layers, and Cloudflare enterprise edge networks. Over 2,280+ static pages deployed in production across enterprise telematics (WizIOT), automotive GPS (Atlanta Systems), and medical e-commerce (Medventa). Zero page builders, zero template bloat, 100% money-back guarantee.</w:t>
      </w:r>
    </w:p>
    <w:p>
      <w:pPr>
        <w:pStyle w:val="Heading2"/>
        <w:spacing w:after="100" w:before="200"/>
      </w:pPr>
      <w:r>
        <w:rPr>
          <w:b/>
          <w:bCs/>
          <w:color w:val="C9A84C"/>
          <w:sz w:val="24"/>
          <w:szCs w:val="24"/>
        </w:rPr>
        <w:t xml:space="preserve">Product 02: Generative Engine Optimization (GEO) &amp; B2B SEO</w:t>
      </w:r>
    </w:p>
    <w:p>
      <w:pPr>
        <w:pStyle w:val="ListParagraph"/>
        <w:numPr>
          <w:ilvl w:val="0"/>
          <w:numId w:val="1"/>
        </w:numPr>
      </w:pPr>
      <w:r>
        <w:rPr>
          <w:b/>
          <w:bCs/>
        </w:rPr>
        <w:t xml:space="preserve">Category: </w:t>
      </w:r>
      <w:r>
        <w:t xml:space="preserve">Search Engine Optimization (SEO)</w:t>
      </w:r>
    </w:p>
    <w:p>
      <w:pPr>
        <w:pStyle w:val="ListParagraph"/>
        <w:numPr>
          <w:ilvl w:val="0"/>
          <w:numId w:val="1"/>
        </w:numPr>
      </w:pPr>
      <w:r>
        <w:rPr>
          <w:b/>
          <w:bCs/>
        </w:rPr>
        <w:t xml:space="preserve">Price: </w:t>
      </w:r>
      <w:r>
        <w:t xml:space="preserve">Monthly Retainer Integration</w:t>
      </w:r>
    </w:p>
    <w:p>
      <w:pPr>
        <w:pStyle w:val="ListParagraph"/>
        <w:numPr>
          <w:ilvl w:val="0"/>
          <w:numId w:val="1"/>
        </w:numPr>
      </w:pPr>
      <w:r>
        <w:rPr>
          <w:b/>
          <w:bCs/>
        </w:rPr>
        <w:t xml:space="preserve">Landing Page URL: </w:t>
      </w:r>
      <w:r>
        <w:t xml:space="preserve">https://rankursite.com/services</w:t>
      </w:r>
    </w:p>
    <w:p>
      <w:pPr>
        <w:pStyle w:val="ListParagraph"/>
        <w:numPr>
          <w:ilvl w:val="0"/>
          <w:numId w:val="1"/>
        </w:numPr>
      </w:pPr>
      <w:r>
        <w:rPr>
          <w:b/>
          <w:bCs/>
        </w:rPr>
        <w:t xml:space="preserve">Product Description: </w:t>
      </w:r>
      <w:r>
        <w:t xml:space="preserve">We engineer your digital footprint to dominate traditional Google rankings and generative AI engines including ChatGPT, Perplexity, and Claude. Includes high-intent B2B keyword architecture, JSON-LD Schema.org Knowledge Graph deployment, and LLM citation optimization.</w:t>
      </w:r>
    </w:p>
    <w:p>
      <w:pPr>
        <w:pStyle w:val="Heading2"/>
        <w:spacing w:after="100" w:before="200"/>
      </w:pPr>
      <w:r>
        <w:rPr>
          <w:b/>
          <w:bCs/>
          <w:color w:val="C9A84C"/>
          <w:sz w:val="24"/>
          <w:szCs w:val="24"/>
        </w:rPr>
        <w:t xml:space="preserve">Product 03: B2B Conversion Rate Optimization (CRO) &amp; Funnel Architecture</w:t>
      </w:r>
    </w:p>
    <w:p>
      <w:pPr>
        <w:pStyle w:val="ListParagraph"/>
        <w:numPr>
          <w:ilvl w:val="0"/>
          <w:numId w:val="1"/>
        </w:numPr>
      </w:pPr>
      <w:r>
        <w:rPr>
          <w:b/>
          <w:bCs/>
        </w:rPr>
        <w:t xml:space="preserve">Category: </w:t>
      </w:r>
      <w:r>
        <w:t xml:space="preserve">Conversion Rate Optimization</w:t>
      </w:r>
    </w:p>
    <w:p>
      <w:pPr>
        <w:pStyle w:val="ListParagraph"/>
        <w:numPr>
          <w:ilvl w:val="0"/>
          <w:numId w:val="1"/>
        </w:numPr>
      </w:pPr>
      <w:r>
        <w:rPr>
          <w:b/>
          <w:bCs/>
        </w:rPr>
        <w:t xml:space="preserve">Price: </w:t>
      </w:r>
      <w:r>
        <w:t xml:space="preserve">Custom Engagement</w:t>
      </w:r>
    </w:p>
    <w:p>
      <w:pPr>
        <w:pStyle w:val="ListParagraph"/>
        <w:numPr>
          <w:ilvl w:val="0"/>
          <w:numId w:val="1"/>
        </w:numPr>
      </w:pPr>
      <w:r>
        <w:rPr>
          <w:b/>
          <w:bCs/>
        </w:rPr>
        <w:t xml:space="preserve">Landing Page URL: </w:t>
      </w:r>
      <w:r>
        <w:t xml:space="preserve">https://rankursite.com/services</w:t>
      </w:r>
    </w:p>
    <w:p>
      <w:pPr>
        <w:pStyle w:val="ListParagraph"/>
        <w:numPr>
          <w:ilvl w:val="0"/>
          <w:numId w:val="1"/>
        </w:numPr>
      </w:pPr>
      <w:r>
        <w:rPr>
          <w:b/>
          <w:bCs/>
        </w:rPr>
        <w:t xml:space="preserve">Product Description: </w:t>
      </w:r>
      <w:r>
        <w:t xml:space="preserve">We perform deep user-interaction audits and restructure lead-capture funnels. By streamlining inquiry pathways, qualifying enterprise RFQs, and wiring up custom GA4 tracking, we double form conversion rates without increasing marketing spend.</w:t>
      </w:r>
    </w:p>
    <w:p>
      <w:pPr>
        <w:pStyle w:val="Heading2"/>
        <w:spacing w:after="100" w:before="200"/>
      </w:pPr>
      <w:r>
        <w:rPr>
          <w:b/>
          <w:bCs/>
          <w:color w:val="C9A84C"/>
          <w:sz w:val="24"/>
          <w:szCs w:val="24"/>
        </w:rPr>
        <w:t xml:space="preserve">Product 04: Free Diagnostic B2B Website &amp; Performance Audit</w:t>
      </w:r>
    </w:p>
    <w:p>
      <w:pPr>
        <w:pStyle w:val="ListParagraph"/>
        <w:numPr>
          <w:ilvl w:val="0"/>
          <w:numId w:val="1"/>
        </w:numPr>
      </w:pPr>
      <w:r>
        <w:rPr>
          <w:b/>
          <w:bCs/>
        </w:rPr>
        <w:t xml:space="preserve">Category: </w:t>
      </w:r>
      <w:r>
        <w:t xml:space="preserve">Diagnostic Consulting</w:t>
      </w:r>
    </w:p>
    <w:p>
      <w:pPr>
        <w:pStyle w:val="ListParagraph"/>
        <w:numPr>
          <w:ilvl w:val="0"/>
          <w:numId w:val="1"/>
        </w:numPr>
      </w:pPr>
      <w:r>
        <w:rPr>
          <w:b/>
          <w:bCs/>
        </w:rPr>
        <w:t xml:space="preserve">Price: </w:t>
      </w:r>
      <w:r>
        <w:t xml:space="preserve">Free ($0) · No Sales Pitch</w:t>
      </w:r>
    </w:p>
    <w:p>
      <w:pPr>
        <w:pStyle w:val="ListParagraph"/>
        <w:numPr>
          <w:ilvl w:val="0"/>
          <w:numId w:val="1"/>
        </w:numPr>
      </w:pPr>
      <w:r>
        <w:rPr>
          <w:b/>
          <w:bCs/>
        </w:rPr>
        <w:t xml:space="preserve">Landing Page URL: </w:t>
      </w:r>
      <w:r>
        <w:t xml:space="preserve">https://rankursite.com/free-audit</w:t>
      </w:r>
    </w:p>
    <w:p>
      <w:pPr>
        <w:pStyle w:val="ListParagraph"/>
        <w:numPr>
          <w:ilvl w:val="0"/>
          <w:numId w:val="1"/>
        </w:numPr>
      </w:pPr>
      <w:r>
        <w:rPr>
          <w:b/>
          <w:bCs/>
        </w:rPr>
        <w:t xml:space="preserve">Product Description: </w:t>
      </w:r>
      <w:r>
        <w:t xml:space="preserve">A complimentary teardown personally recorded by founder Moksh Parjapati. Reviews global load times, Core Web Vitals, Google &amp; AI search presence, and lead drop-off points. Includes actionable recommendations to turn visitors into sales opportunities.</w:t>
      </w:r>
    </w:p>
    <w:p>
      <w:pPr>
        <w:pStyle w:val="Heading1"/>
        <w:spacing w:after="150" w:before="400"/>
      </w:pPr>
      <w:r>
        <w:rPr>
          <w:b/>
          <w:bCs/>
          <w:color w:val="0A0A0A"/>
          <w:sz w:val="28"/>
          <w:szCs w:val="28"/>
        </w:rPr>
        <w:t xml:space="preserve">4. High-Authority GMB Update Posts (Schedule &amp; Copy)</w:t>
      </w:r>
    </w:p>
    <w:p>
      <w:pPr>
        <w:spacing w:after="150" w:before="0"/>
      </w:pPr>
      <w:r>
        <w:t xml:space="preserve">Publishing weekly GMB updates with outbound links creates an active crawling signal for Googlebot while directly demonstrating our verified client backlink authority:</w:t>
      </w:r>
    </w:p>
    <w:p>
      <w:pPr>
        <w:pStyle w:val="Heading3"/>
        <w:spacing w:after="50" w:before="150"/>
      </w:pPr>
      <w:r>
        <w:rPr>
          <w:b/>
          <w:bCs/>
          <w:color w:val="0A0A0A"/>
          <w:sz w:val="22"/>
          <w:szCs w:val="22"/>
        </w:rPr>
        <w:t xml:space="preserve">GMB Post 01: Client Deployment Showcase — WizIOT (1,040+ Static Pages)</w:t>
      </w:r>
    </w:p>
    <w:p>
      <w:r>
        <w:rPr>
          <w:i/>
          <w:iCs/>
        </w:rPr>
        <w:t xml:space="preserve">How does a global IoT fleet telematics provider present complex sensor protocols across EMEA and the GCC without losing site speed or crawl indexation?
Rankur engineered the complete Next.js 16 + Turbopack web architecture for WizIOT (wiziot.com), generating over 1,040+ static pages with a sub-0.9s global load time and 100% crawl accuracy.
Every platform we build is engineered for high-intent buyer acquisition and verified in production.
Inspect the live case study and verified production infrastructure:
https://rankursite.com/case-studies
CTA Button: Learn More (URL: https://rankursite.com/case-studies)</w:t>
      </w:r>
    </w:p>
    <w:p>
      <w:pPr>
        <w:pStyle w:val="Heading3"/>
        <w:spacing w:after="50" w:before="200"/>
      </w:pPr>
      <w:r>
        <w:rPr>
          <w:b/>
          <w:bCs/>
          <w:color w:val="0A0A0A"/>
          <w:sz w:val="22"/>
          <w:szCs w:val="22"/>
        </w:rPr>
        <w:t xml:space="preserve">GMB Post 02: Automotive Telematics Manufacturing — Atlanta Systems (460+ Pages)</w:t>
      </w:r>
    </w:p>
    <w:p>
      <w:r>
        <w:rPr>
          <w:i/>
          <w:iCs/>
        </w:rPr>
        <w:t xml:space="preserve">When commercial transport regulations mandate AIS-140 compliance, automotive manufacturers need rock-solid digital authority to convert government and fleet procurement committees.
Rankur designed and deployed 460+ high-performance static pages for Atlanta Systems (atlantasys.com) on Next.js 16, capturing high-volume RFQs with zero maintenance debt.
See how custom React &amp; Next.js architectures outperform legacy websites:
https://rankursite.com/case-studies
CTA Button: Learn More (URL: https://rankursite.com/case-studies)</w:t>
      </w:r>
    </w:p>
    <w:p>
      <w:pPr>
        <w:pStyle w:val="Heading3"/>
        <w:spacing w:after="50" w:before="200"/>
      </w:pPr>
      <w:r>
        <w:rPr>
          <w:b/>
          <w:bCs/>
          <w:color w:val="0A0A0A"/>
          <w:sz w:val="22"/>
          <w:szCs w:val="22"/>
        </w:rPr>
        <w:t xml:space="preserve">GMB Post 03: Headless Medical Procurement — Medventa (440+ SKUs)</w:t>
      </w:r>
    </w:p>
    <w:p>
      <w:r>
        <w:rPr>
          <w:i/>
          <w:iCs/>
        </w:rPr>
        <w:t xml:space="preserve">Hospital purchase committees do not have time for slow e-commerce catalogs. For Medventa (medventa.in), Rankur built a headless Next.js 14 medical commerce platform spanning 440+ surgical suture and healthcare supply SKUs with sub-second catalog search and bulk RFQ automation.
Need a high-converting digital platform for complex B2B products?
Request a free website &amp; conversion audit today:
https://rankursite.com/free-audit
CTA Button: Book (URL: https://rankursite.com/free-audit)</w:t>
      </w:r>
    </w:p>
    <w:p>
      <w:pPr>
        <w:pStyle w:val="Heading1"/>
        <w:spacing w:after="150" w:before="400"/>
      </w:pPr>
      <w:r>
        <w:rPr>
          <w:b/>
          <w:bCs/>
          <w:color w:val="0A0A0A"/>
          <w:sz w:val="28"/>
          <w:szCs w:val="28"/>
        </w:rPr>
        <w:t xml:space="preserve">5. Google Business Pre-Seeded Q&amp;A Section (Entity Reinforcement)</w:t>
      </w:r>
    </w:p>
    <w:p>
      <w:pPr>
        <w:spacing w:after="150" w:before="0"/>
      </w:pPr>
      <w:r>
        <w:t xml:space="preserve">In GMB, anyone can ask and answer questions. By pre-populating your profile with strategic FAQ pairs, you provide instant answers to prospective clients while feeding Google high-intent semantic keywords:</w:t>
      </w:r>
    </w:p>
    <w:p>
      <w:r>
        <w:rPr>
          <w:b/>
          <w:bCs/>
        </w:rPr>
        <w:t xml:space="preserve">Q: What kind of websites does Rankur build for B2B companies?</w:t>
      </w:r>
    </w:p>
    <w:p>
      <w:pPr>
        <w:spacing w:after="150" w:before="50"/>
      </w:pPr>
      <w:r>
        <w:t xml:space="preserve">A: We design and engineer custom, high-speed B2B websites using React and Next.js 16. We do not use slow templates or bloated page builders. Every platform is built from scratch to load in under 1.2 seconds globally and rank for high-intent buying searches on both Google and AI search engines (Perplexity, ChatGPT).</w:t>
      </w:r>
    </w:p>
    <w:p>
      <w:r>
        <w:rPr>
          <w:b/>
          <w:bCs/>
        </w:rPr>
        <w:t xml:space="preserve">Q: What live client platforms has Rankur built?</w:t>
      </w:r>
    </w:p>
    <w:p>
      <w:pPr>
        <w:spacing w:after="150" w:before="50"/>
      </w:pPr>
      <w:r>
        <w:t xml:space="preserve">A: Over 2,280+ static pages are actively in production across verified clients including WizIOT (fleet telematics, 1,040+ pages), Atlanta Systems (AIS-140 GPS manufacturer, 460+ pages), Medventa (medical supplies, 440+ pages), Probiota Innovations (nutraceutical CDMO, 340+ pages), and Wafa Trust. Each platform features a verified site-wide footer backlink confirming Rankur's architecture.</w:t>
      </w:r>
    </w:p>
    <w:p>
      <w:r>
        <w:rPr>
          <w:b/>
          <w:bCs/>
        </w:rPr>
        <w:t xml:space="preserve">Q: How fast can Rankur launch a custom B2B website?</w:t>
      </w:r>
    </w:p>
    <w:p>
      <w:pPr>
        <w:spacing w:after="150" w:before="50"/>
      </w:pPr>
      <w:r>
        <w:t xml:space="preserve">A: Most custom builds go live within a focused 7 to 14-day sprint. Every engagement is personally led by founder Moksh Parjapati with zero junior account handoffs and is backed by a 100% money-back guarantee.</w:t>
      </w:r>
    </w:p>
    <w:p>
      <w:r>
        <w:rPr>
          <w:b/>
          <w:bCs/>
        </w:rPr>
        <w:t xml:space="preserve">Q: Do you work with international clients outside India?</w:t>
      </w:r>
    </w:p>
    <w:p>
      <w:pPr>
        <w:spacing w:after="150" w:before="50"/>
      </w:pPr>
      <w:r>
        <w:t xml:space="preserve">A: Yes. A substantial portion of our client engagements are across the United States, United Kingdom, Canada, Australia, and the Gulf (UAE, Saudi Arabia, Qatar). We configure international SEO (hreflang, edge CDN routing) tailored to overseas buyers.</w:t>
      </w:r>
    </w:p>
    <w:p>
      <w:pPr>
        <w:pStyle w:val="Heading1"/>
        <w:spacing w:after="150" w:before="400"/>
      </w:pPr>
      <w:r>
        <w:rPr>
          <w:b/>
          <w:bCs/>
          <w:color w:val="0A0A0A"/>
          <w:sz w:val="28"/>
          <w:szCs w:val="28"/>
        </w:rPr>
        <w:t xml:space="preserve">6. Client Review Acquisition System &amp; Outreach Scripts</w:t>
      </w:r>
    </w:p>
    <w:p>
      <w:pPr>
        <w:spacing w:after="150" w:before="0"/>
      </w:pPr>
      <w:r>
        <w:t xml:space="preserve">Google Reviews containing relevant keywords (*"Next.js"*, *"B2B leads"*, *"web speed"*, *"SEO"*) dramatically boost your map ranking and domain authority. Use the following outreach message to request 5-star reviews from verified partners and clients:</w:t>
      </w:r>
    </w:p>
    <w:p>
      <w:pPr>
        <w:pStyle w:val="Heading2"/>
        <w:spacing w:after="50" w:before="150"/>
      </w:pPr>
      <w:r>
        <w:rPr>
          <w:b/>
          <w:bCs/>
          <w:color w:val="C9A84C"/>
          <w:sz w:val="22"/>
          <w:szCs w:val="22"/>
        </w:rPr>
        <w:t xml:space="preserve">Client Review Outreach Message (WhatsApp / Email):</w:t>
      </w:r>
    </w:p>
    <w:p>
      <w:r>
        <w:rPr>
          <w:i/>
          <w:iCs/>
        </w:rPr>
        <w:t xml:space="preserve">"Hi [Client Name],
Hope all is well with you and the team! As we continue scaling Rankur and helping B2B founders build high-performance web infrastructure, Google Business reviews from verified partners like [Client Company] make a huge difference.
Could you take 60 seconds to share your experience regarding our build speed, Next.js architecture, and lead generation setup?
Direct review link: [Insert Your GMB Shortlink Here]
Thank you so much for your partnership!
— Moksh Parjapati | Rankur"</w:t>
      </w:r>
    </w:p>
    <w:p>
      <w:pPr>
        <w:pStyle w:val="Heading1"/>
        <w:spacing w:after="150" w:before="400"/>
      </w:pPr>
      <w:r>
        <w:rPr>
          <w:b/>
          <w:bCs/>
          <w:color w:val="0A0A0A"/>
          <w:sz w:val="28"/>
          <w:szCs w:val="28"/>
        </w:rPr>
        <w:t xml:space="preserve">7. 15-Platform NAP Consistency &amp; Backlink Citation Checklist</w:t>
      </w:r>
    </w:p>
    <w:p>
      <w:pPr>
        <w:spacing w:after="150" w:before="0"/>
      </w:pPr>
      <w:r>
        <w:t xml:space="preserve">To ensure Google’s algorithm verifies Rankur’s address and phone number with 100% confidence, submit this exact NAP profile across the following 15 high-authority directories: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shd w:fill="1A1A1A" w:val="clear"/>
            <w:tcMar>
              <w:top w:type="dxa" w:w="140"/>
              <w:left w:type="dxa" w:w="200"/>
              <w:bottom w:type="dxa" w:w="140"/>
              <w:right w:type="dxa" w:w="200"/>
            </w:tcMar>
          </w:tcPr>
          <w:p>
            <w:r>
              <w:rPr>
                <w:rFonts w:ascii="Calibri" w:cs="Calibri" w:eastAsia="Calibri" w:hAnsi="Calibri"/>
                <w:b/>
                <w:bCs/>
                <w:color w:val="FFFFFF"/>
                <w:sz w:val="21"/>
                <w:szCs w:val="21"/>
              </w:rPr>
              <w:t xml:space="preserve">Platform Name</w:t>
            </w:r>
          </w:p>
        </w:tc>
        <w:tc>
          <w:tcPr>
            <w:tcW w:type="pct" w:w="35%"/>
            <w:shd w:fill="1A1A1A" w:val="clear"/>
            <w:tcMar>
              <w:top w:type="dxa" w:w="140"/>
              <w:left w:type="dxa" w:w="200"/>
              <w:bottom w:type="dxa" w:w="140"/>
              <w:right w:type="dxa" w:w="200"/>
            </w:tcMar>
          </w:tcPr>
          <w:p>
            <w:r>
              <w:rPr>
                <w:rFonts w:ascii="Calibri" w:cs="Calibri" w:eastAsia="Calibri" w:hAnsi="Calibri"/>
                <w:b/>
                <w:bCs/>
                <w:color w:val="FFFFFF"/>
                <w:sz w:val="21"/>
                <w:szCs w:val="21"/>
              </w:rPr>
              <w:t xml:space="preserve">Category / Focus</w:t>
            </w:r>
          </w:p>
        </w:tc>
        <w:tc>
          <w:tcPr>
            <w:tcW w:type="pct" w:w="35%"/>
            <w:shd w:fill="1A1A1A" w:val="clear"/>
            <w:tcMar>
              <w:top w:type="dxa" w:w="140"/>
              <w:left w:type="dxa" w:w="200"/>
              <w:bottom w:type="dxa" w:w="140"/>
              <w:right w:type="dxa" w:w="200"/>
            </w:tcMar>
          </w:tcPr>
          <w:p>
            <w:r>
              <w:rPr>
                <w:rFonts w:ascii="Calibri" w:cs="Calibri" w:eastAsia="Calibri" w:hAnsi="Calibri"/>
                <w:b/>
                <w:bCs/>
                <w:color w:val="FFFFFF"/>
                <w:sz w:val="21"/>
                <w:szCs w:val="21"/>
              </w:rPr>
              <w:t xml:space="preserve">Authority Value</w:t>
            </w:r>
          </w:p>
        </w:tc>
      </w:tr>
      <w:tr>
        <w:tc>
          <w:tcPr>
            <w:tcW w:type="pct" w:w="30%"/>
            <w:tcBorders>
              <w:top w:val="single" w:color="E0E0E0" w:sz="1"/>
              <w:left w:val="single" w:color="E0E0E0" w:sz="1"/>
              <w:bottom w:val="single" w:color="E0E0E0" w:sz="1"/>
              <w:right w:val="single" w:color="E0E0E0" w:sz="1"/>
            </w:tcBorders>
            <w:tcMar>
              <w:top w:type="dxa" w:w="140"/>
              <w:left w:type="dxa" w:w="200"/>
              <w:bottom w:type="dxa" w:w="140"/>
              <w:right w:type="dxa" w:w="200"/>
            </w:tcMar>
          </w:tcPr>
          <w:p>
            <w:r>
              <w:rPr>
                <w:rFonts w:ascii="Calibri" w:cs="Calibri" w:eastAsia="Calibri" w:hAnsi="Calibri"/>
                <w:b/>
                <w:bCs/>
                <w:color w:val="1A1A1A"/>
                <w:sz w:val="20"/>
                <w:szCs w:val="20"/>
              </w:rPr>
              <w:t xml:space="preserve">Google Business Profile (GMB)</w:t>
            </w:r>
          </w:p>
        </w:tc>
        <w:tc>
          <w:tcPr>
            <w:tcW w:type="pct" w:w="35%"/>
            <w:tcBorders>
              <w:top w:val="single" w:color="E0E0E0" w:sz="1"/>
              <w:left w:val="single" w:color="E0E0E0" w:sz="1"/>
              <w:bottom w:val="single" w:color="E0E0E0" w:sz="1"/>
              <w:right w:val="single" w:color="E0E0E0" w:sz="1"/>
            </w:tcBorders>
            <w:tcMar>
              <w:top w:type="dxa" w:w="140"/>
              <w:left w:type="dxa" w:w="200"/>
              <w:bottom w:type="dxa" w:w="140"/>
              <w:right w:type="dxa" w:w="200"/>
            </w:tcMar>
          </w:tcPr>
          <w:p>
            <w:r>
              <w:rPr>
                <w:rFonts w:ascii="Calibri" w:cs="Calibri" w:eastAsia="Calibri" w:hAnsi="Calibri"/>
                <w:b w:val="false"/>
                <w:bCs w:val="false"/>
                <w:color w:val="333333"/>
                <w:sz w:val="20"/>
                <w:szCs w:val="20"/>
              </w:rPr>
              <w:t xml:space="preserve">Primary Search &amp; Maps Entity</w:t>
            </w:r>
          </w:p>
        </w:tc>
        <w:tc>
          <w:tcPr>
            <w:tcW w:type="pct" w:w="35%"/>
            <w:tcBorders>
              <w:top w:val="single" w:color="E0E0E0" w:sz="1"/>
              <w:left w:val="single" w:color="E0E0E0" w:sz="1"/>
              <w:bottom w:val="single" w:color="E0E0E0" w:sz="1"/>
              <w:right w:val="single" w:color="E0E0E0" w:sz="1"/>
            </w:tcBorders>
            <w:tcMar>
              <w:top w:type="dxa" w:w="140"/>
              <w:left w:type="dxa" w:w="200"/>
              <w:bottom w:type="dxa" w:w="140"/>
              <w:right w:type="dxa" w:w="200"/>
            </w:tcMar>
          </w:tcPr>
          <w:p>
            <w:r>
              <w:rPr>
                <w:rFonts w:ascii="Calibri" w:cs="Calibri" w:eastAsia="Calibri" w:hAnsi="Calibri"/>
                <w:b w:val="false"/>
                <w:bCs w:val="false"/>
                <w:color w:val="333333"/>
                <w:sz w:val="20"/>
                <w:szCs w:val="20"/>
              </w:rPr>
              <w:t xml:space="preserve">Foundational Tier 1 (Google Knowledge Graph)</w:t>
            </w:r>
          </w:p>
        </w:tc>
      </w:tr>
      <w:tr>
        <w:tc>
          <w:tcPr>
            <w:tcW w:type="pct" w:w="30%"/>
            <w:tcBorders>
              <w:top w:val="single" w:color="E0E0E0" w:sz="1"/>
              <w:left w:val="single" w:color="E0E0E0" w:sz="1"/>
              <w:bottom w:val="single" w:color="E0E0E0" w:sz="1"/>
              <w:right w:val="single" w:color="E0E0E0" w:sz="1"/>
            </w:tcBorders>
            <w:tcMar>
              <w:top w:type="dxa" w:w="140"/>
              <w:left w:type="dxa" w:w="200"/>
              <w:bottom w:type="dxa" w:w="140"/>
              <w:right w:type="dxa" w:w="200"/>
            </w:tcMar>
          </w:tcPr>
          <w:p>
            <w:r>
              <w:rPr>
                <w:rFonts w:ascii="Calibri" w:cs="Calibri" w:eastAsia="Calibri" w:hAnsi="Calibri"/>
                <w:b/>
                <w:bCs/>
                <w:color w:val="1A1A1A"/>
                <w:sz w:val="20"/>
                <w:szCs w:val="20"/>
              </w:rPr>
              <w:t xml:space="preserve">Bing Places for Business</w:t>
            </w:r>
          </w:p>
        </w:tc>
        <w:tc>
          <w:tcPr>
            <w:tcW w:type="pct" w:w="35%"/>
            <w:tcBorders>
              <w:top w:val="single" w:color="E0E0E0" w:sz="1"/>
              <w:left w:val="single" w:color="E0E0E0" w:sz="1"/>
              <w:bottom w:val="single" w:color="E0E0E0" w:sz="1"/>
              <w:right w:val="single" w:color="E0E0E0" w:sz="1"/>
            </w:tcBorders>
            <w:tcMar>
              <w:top w:type="dxa" w:w="140"/>
              <w:left w:type="dxa" w:w="200"/>
              <w:bottom w:type="dxa" w:w="140"/>
              <w:right w:type="dxa" w:w="200"/>
            </w:tcMar>
          </w:tcPr>
          <w:p>
            <w:r>
              <w:rPr>
                <w:rFonts w:ascii="Calibri" w:cs="Calibri" w:eastAsia="Calibri" w:hAnsi="Calibri"/>
                <w:b w:val="false"/>
                <w:bCs w:val="false"/>
                <w:color w:val="333333"/>
                <w:sz w:val="20"/>
                <w:szCs w:val="20"/>
              </w:rPr>
              <w:t xml:space="preserve">Microsoft &amp; Copilot Local Search</w:t>
            </w:r>
          </w:p>
        </w:tc>
        <w:tc>
          <w:tcPr>
            <w:tcW w:type="pct" w:w="35%"/>
            <w:tcBorders>
              <w:top w:val="single" w:color="E0E0E0" w:sz="1"/>
              <w:left w:val="single" w:color="E0E0E0" w:sz="1"/>
              <w:bottom w:val="single" w:color="E0E0E0" w:sz="1"/>
              <w:right w:val="single" w:color="E0E0E0" w:sz="1"/>
            </w:tcBorders>
            <w:tcMar>
              <w:top w:type="dxa" w:w="140"/>
              <w:left w:type="dxa" w:w="200"/>
              <w:bottom w:type="dxa" w:w="140"/>
              <w:right w:type="dxa" w:w="200"/>
            </w:tcMar>
          </w:tcPr>
          <w:p>
            <w:r>
              <w:rPr>
                <w:rFonts w:ascii="Calibri" w:cs="Calibri" w:eastAsia="Calibri" w:hAnsi="Calibri"/>
                <w:b w:val="false"/>
                <w:bCs w:val="false"/>
                <w:color w:val="333333"/>
                <w:sz w:val="20"/>
                <w:szCs w:val="20"/>
              </w:rPr>
              <w:t xml:space="preserve">Direct feed for Windows &amp; Bing users</w:t>
            </w:r>
          </w:p>
        </w:tc>
      </w:tr>
      <w:tr>
        <w:tc>
          <w:tcPr>
            <w:tcW w:type="pct" w:w="30%"/>
            <w:tcBorders>
              <w:top w:val="single" w:color="E0E0E0" w:sz="1"/>
              <w:left w:val="single" w:color="E0E0E0" w:sz="1"/>
              <w:bottom w:val="single" w:color="E0E0E0" w:sz="1"/>
              <w:right w:val="single" w:color="E0E0E0" w:sz="1"/>
            </w:tcBorders>
            <w:tcMar>
              <w:top w:type="dxa" w:w="140"/>
              <w:left w:type="dxa" w:w="200"/>
              <w:bottom w:type="dxa" w:w="140"/>
              <w:right w:type="dxa" w:w="200"/>
            </w:tcMar>
          </w:tcPr>
          <w:p>
            <w:r>
              <w:rPr>
                <w:rFonts w:ascii="Calibri" w:cs="Calibri" w:eastAsia="Calibri" w:hAnsi="Calibri"/>
                <w:b/>
                <w:bCs/>
                <w:color w:val="1A1A1A"/>
                <w:sz w:val="20"/>
                <w:szCs w:val="20"/>
              </w:rPr>
              <w:t xml:space="preserve">Apple Business Connect / Maps</w:t>
            </w:r>
          </w:p>
        </w:tc>
        <w:tc>
          <w:tcPr>
            <w:tcW w:type="pct" w:w="35%"/>
            <w:tcBorders>
              <w:top w:val="single" w:color="E0E0E0" w:sz="1"/>
              <w:left w:val="single" w:color="E0E0E0" w:sz="1"/>
              <w:bottom w:val="single" w:color="E0E0E0" w:sz="1"/>
              <w:right w:val="single" w:color="E0E0E0" w:sz="1"/>
            </w:tcBorders>
            <w:tcMar>
              <w:top w:type="dxa" w:w="140"/>
              <w:left w:type="dxa" w:w="200"/>
              <w:bottom w:type="dxa" w:w="140"/>
              <w:right w:type="dxa" w:w="200"/>
            </w:tcMar>
          </w:tcPr>
          <w:p>
            <w:r>
              <w:rPr>
                <w:rFonts w:ascii="Calibri" w:cs="Calibri" w:eastAsia="Calibri" w:hAnsi="Calibri"/>
                <w:b w:val="false"/>
                <w:bCs w:val="false"/>
                <w:color w:val="333333"/>
                <w:sz w:val="20"/>
                <w:szCs w:val="20"/>
              </w:rPr>
              <w:t xml:space="preserve">iOS &amp; Siri Map Entity</w:t>
            </w:r>
          </w:p>
        </w:tc>
        <w:tc>
          <w:tcPr>
            <w:tcW w:type="pct" w:w="35%"/>
            <w:tcBorders>
              <w:top w:val="single" w:color="E0E0E0" w:sz="1"/>
              <w:left w:val="single" w:color="E0E0E0" w:sz="1"/>
              <w:bottom w:val="single" w:color="E0E0E0" w:sz="1"/>
              <w:right w:val="single" w:color="E0E0E0" w:sz="1"/>
            </w:tcBorders>
            <w:tcMar>
              <w:top w:type="dxa" w:w="140"/>
              <w:left w:type="dxa" w:w="200"/>
              <w:bottom w:type="dxa" w:w="140"/>
              <w:right w:type="dxa" w:w="200"/>
            </w:tcMar>
          </w:tcPr>
          <w:p>
            <w:r>
              <w:rPr>
                <w:rFonts w:ascii="Calibri" w:cs="Calibri" w:eastAsia="Calibri" w:hAnsi="Calibri"/>
                <w:b w:val="false"/>
                <w:bCs w:val="false"/>
                <w:color w:val="333333"/>
                <w:sz w:val="20"/>
                <w:szCs w:val="20"/>
              </w:rPr>
              <w:t xml:space="preserve">Authority anchor for iPhone &amp; Mac ecosystem</w:t>
            </w:r>
          </w:p>
        </w:tc>
      </w:tr>
      <w:tr>
        <w:tc>
          <w:tcPr>
            <w:tcW w:type="pct" w:w="30%"/>
            <w:tcBorders>
              <w:top w:val="single" w:color="E0E0E0" w:sz="1"/>
              <w:left w:val="single" w:color="E0E0E0" w:sz="1"/>
              <w:bottom w:val="single" w:color="E0E0E0" w:sz="1"/>
              <w:right w:val="single" w:color="E0E0E0" w:sz="1"/>
            </w:tcBorders>
            <w:tcMar>
              <w:top w:type="dxa" w:w="140"/>
              <w:left w:type="dxa" w:w="200"/>
              <w:bottom w:type="dxa" w:w="140"/>
              <w:right w:type="dxa" w:w="200"/>
            </w:tcMar>
          </w:tcPr>
          <w:p>
            <w:r>
              <w:rPr>
                <w:rFonts w:ascii="Calibri" w:cs="Calibri" w:eastAsia="Calibri" w:hAnsi="Calibri"/>
                <w:b/>
                <w:bCs/>
                <w:color w:val="1A1A1A"/>
                <w:sz w:val="20"/>
                <w:szCs w:val="20"/>
              </w:rPr>
              <w:t xml:space="preserve">Crunchbase</w:t>
            </w:r>
          </w:p>
        </w:tc>
        <w:tc>
          <w:tcPr>
            <w:tcW w:type="pct" w:w="35%"/>
            <w:tcBorders>
              <w:top w:val="single" w:color="E0E0E0" w:sz="1"/>
              <w:left w:val="single" w:color="E0E0E0" w:sz="1"/>
              <w:bottom w:val="single" w:color="E0E0E0" w:sz="1"/>
              <w:right w:val="single" w:color="E0E0E0" w:sz="1"/>
            </w:tcBorders>
            <w:tcMar>
              <w:top w:type="dxa" w:w="140"/>
              <w:left w:type="dxa" w:w="200"/>
              <w:bottom w:type="dxa" w:w="140"/>
              <w:right w:type="dxa" w:w="200"/>
            </w:tcMar>
          </w:tcPr>
          <w:p>
            <w:r>
              <w:rPr>
                <w:rFonts w:ascii="Calibri" w:cs="Calibri" w:eastAsia="Calibri" w:hAnsi="Calibri"/>
                <w:b w:val="false"/>
                <w:bCs w:val="false"/>
                <w:color w:val="333333"/>
                <w:sz w:val="20"/>
                <w:szCs w:val="20"/>
              </w:rPr>
              <w:t xml:space="preserve">Corporate / Venture Ecosystem</w:t>
            </w:r>
          </w:p>
        </w:tc>
        <w:tc>
          <w:tcPr>
            <w:tcW w:type="pct" w:w="35%"/>
            <w:tcBorders>
              <w:top w:val="single" w:color="E0E0E0" w:sz="1"/>
              <w:left w:val="single" w:color="E0E0E0" w:sz="1"/>
              <w:bottom w:val="single" w:color="E0E0E0" w:sz="1"/>
              <w:right w:val="single" w:color="E0E0E0" w:sz="1"/>
            </w:tcBorders>
            <w:tcMar>
              <w:top w:type="dxa" w:w="140"/>
              <w:left w:type="dxa" w:w="200"/>
              <w:bottom w:type="dxa" w:w="140"/>
              <w:right w:type="dxa" w:w="200"/>
            </w:tcMar>
          </w:tcPr>
          <w:p>
            <w:r>
              <w:rPr>
                <w:rFonts w:ascii="Calibri" w:cs="Calibri" w:eastAsia="Calibri" w:hAnsi="Calibri"/>
                <w:b w:val="false"/>
                <w:bCs w:val="false"/>
                <w:color w:val="333333"/>
                <w:sz w:val="20"/>
                <w:szCs w:val="20"/>
              </w:rPr>
              <w:t xml:space="preserve">Live Rankur profile established (DA 91)</w:t>
            </w:r>
          </w:p>
        </w:tc>
      </w:tr>
      <w:tr>
        <w:tc>
          <w:tcPr>
            <w:tcW w:type="pct" w:w="30%"/>
            <w:tcBorders>
              <w:top w:val="single" w:color="E0E0E0" w:sz="1"/>
              <w:left w:val="single" w:color="E0E0E0" w:sz="1"/>
              <w:bottom w:val="single" w:color="E0E0E0" w:sz="1"/>
              <w:right w:val="single" w:color="E0E0E0" w:sz="1"/>
            </w:tcBorders>
            <w:tcMar>
              <w:top w:type="dxa" w:w="140"/>
              <w:left w:type="dxa" w:w="200"/>
              <w:bottom w:type="dxa" w:w="140"/>
              <w:right w:type="dxa" w:w="200"/>
            </w:tcMar>
          </w:tcPr>
          <w:p>
            <w:r>
              <w:rPr>
                <w:rFonts w:ascii="Calibri" w:cs="Calibri" w:eastAsia="Calibri" w:hAnsi="Calibri"/>
                <w:b/>
                <w:bCs/>
                <w:color w:val="1A1A1A"/>
                <w:sz w:val="20"/>
                <w:szCs w:val="20"/>
              </w:rPr>
              <w:t xml:space="preserve">Clutch.co</w:t>
            </w:r>
          </w:p>
        </w:tc>
        <w:tc>
          <w:tcPr>
            <w:tcW w:type="pct" w:w="35%"/>
            <w:tcBorders>
              <w:top w:val="single" w:color="E0E0E0" w:sz="1"/>
              <w:left w:val="single" w:color="E0E0E0" w:sz="1"/>
              <w:bottom w:val="single" w:color="E0E0E0" w:sz="1"/>
              <w:right w:val="single" w:color="E0E0E0" w:sz="1"/>
            </w:tcBorders>
            <w:tcMar>
              <w:top w:type="dxa" w:w="140"/>
              <w:left w:type="dxa" w:w="200"/>
              <w:bottom w:type="dxa" w:w="140"/>
              <w:right w:type="dxa" w:w="200"/>
            </w:tcMar>
          </w:tcPr>
          <w:p>
            <w:r>
              <w:rPr>
                <w:rFonts w:ascii="Calibri" w:cs="Calibri" w:eastAsia="Calibri" w:hAnsi="Calibri"/>
                <w:b w:val="false"/>
                <w:bCs w:val="false"/>
                <w:color w:val="333333"/>
                <w:sz w:val="20"/>
                <w:szCs w:val="20"/>
              </w:rPr>
              <w:t xml:space="preserve">B2B Development &amp; Design Directory</w:t>
            </w:r>
          </w:p>
        </w:tc>
        <w:tc>
          <w:tcPr>
            <w:tcW w:type="pct" w:w="35%"/>
            <w:tcBorders>
              <w:top w:val="single" w:color="E0E0E0" w:sz="1"/>
              <w:left w:val="single" w:color="E0E0E0" w:sz="1"/>
              <w:bottom w:val="single" w:color="E0E0E0" w:sz="1"/>
              <w:right w:val="single" w:color="E0E0E0" w:sz="1"/>
            </w:tcBorders>
            <w:tcMar>
              <w:top w:type="dxa" w:w="140"/>
              <w:left w:type="dxa" w:w="200"/>
              <w:bottom w:type="dxa" w:w="140"/>
              <w:right w:type="dxa" w:w="200"/>
            </w:tcMar>
          </w:tcPr>
          <w:p>
            <w:r>
              <w:rPr>
                <w:rFonts w:ascii="Calibri" w:cs="Calibri" w:eastAsia="Calibri" w:hAnsi="Calibri"/>
                <w:b w:val="false"/>
                <w:bCs w:val="false"/>
                <w:color w:val="333333"/>
                <w:sz w:val="20"/>
                <w:szCs w:val="20"/>
              </w:rPr>
              <w:t xml:space="preserve">High-intent buyer referral traffic (DA 89)</w:t>
            </w:r>
          </w:p>
        </w:tc>
      </w:tr>
      <w:tr>
        <w:tc>
          <w:tcPr>
            <w:tcW w:type="pct" w:w="30%"/>
            <w:tcBorders>
              <w:top w:val="single" w:color="E0E0E0" w:sz="1"/>
              <w:left w:val="single" w:color="E0E0E0" w:sz="1"/>
              <w:bottom w:val="single" w:color="E0E0E0" w:sz="1"/>
              <w:right w:val="single" w:color="E0E0E0" w:sz="1"/>
            </w:tcBorders>
            <w:tcMar>
              <w:top w:type="dxa" w:w="140"/>
              <w:left w:type="dxa" w:w="200"/>
              <w:bottom w:type="dxa" w:w="140"/>
              <w:right w:type="dxa" w:w="200"/>
            </w:tcMar>
          </w:tcPr>
          <w:p>
            <w:r>
              <w:rPr>
                <w:rFonts w:ascii="Calibri" w:cs="Calibri" w:eastAsia="Calibri" w:hAnsi="Calibri"/>
                <w:b/>
                <w:bCs/>
                <w:color w:val="1A1A1A"/>
                <w:sz w:val="20"/>
                <w:szCs w:val="20"/>
              </w:rPr>
              <w:t xml:space="preserve">DesignRush</w:t>
            </w:r>
          </w:p>
        </w:tc>
        <w:tc>
          <w:tcPr>
            <w:tcW w:type="pct" w:w="35%"/>
            <w:tcBorders>
              <w:top w:val="single" w:color="E0E0E0" w:sz="1"/>
              <w:left w:val="single" w:color="E0E0E0" w:sz="1"/>
              <w:bottom w:val="single" w:color="E0E0E0" w:sz="1"/>
              <w:right w:val="single" w:color="E0E0E0" w:sz="1"/>
            </w:tcBorders>
            <w:tcMar>
              <w:top w:type="dxa" w:w="140"/>
              <w:left w:type="dxa" w:w="200"/>
              <w:bottom w:type="dxa" w:w="140"/>
              <w:right w:type="dxa" w:w="200"/>
            </w:tcMar>
          </w:tcPr>
          <w:p>
            <w:r>
              <w:rPr>
                <w:rFonts w:ascii="Calibri" w:cs="Calibri" w:eastAsia="Calibri" w:hAnsi="Calibri"/>
                <w:b w:val="false"/>
                <w:bCs w:val="false"/>
                <w:color w:val="333333"/>
                <w:sz w:val="20"/>
                <w:szCs w:val="20"/>
              </w:rPr>
              <w:t xml:space="preserve">Web Design Agency Showcase</w:t>
            </w:r>
          </w:p>
        </w:tc>
        <w:tc>
          <w:tcPr>
            <w:tcW w:type="pct" w:w="35%"/>
            <w:tcBorders>
              <w:top w:val="single" w:color="E0E0E0" w:sz="1"/>
              <w:left w:val="single" w:color="E0E0E0" w:sz="1"/>
              <w:bottom w:val="single" w:color="E0E0E0" w:sz="1"/>
              <w:right w:val="single" w:color="E0E0E0" w:sz="1"/>
            </w:tcBorders>
            <w:tcMar>
              <w:top w:type="dxa" w:w="140"/>
              <w:left w:type="dxa" w:w="200"/>
              <w:bottom w:type="dxa" w:w="140"/>
              <w:right w:type="dxa" w:w="200"/>
            </w:tcMar>
          </w:tcPr>
          <w:p>
            <w:r>
              <w:rPr>
                <w:rFonts w:ascii="Calibri" w:cs="Calibri" w:eastAsia="Calibri" w:hAnsi="Calibri"/>
                <w:b w:val="false"/>
                <w:bCs w:val="false"/>
                <w:color w:val="333333"/>
                <w:sz w:val="20"/>
                <w:szCs w:val="20"/>
              </w:rPr>
              <w:t xml:space="preserve">Direct B2B agency backlink citation</w:t>
            </w:r>
          </w:p>
        </w:tc>
      </w:tr>
      <w:tr>
        <w:tc>
          <w:tcPr>
            <w:tcW w:type="pct" w:w="30%"/>
            <w:tcBorders>
              <w:top w:val="single" w:color="E0E0E0" w:sz="1"/>
              <w:left w:val="single" w:color="E0E0E0" w:sz="1"/>
              <w:bottom w:val="single" w:color="E0E0E0" w:sz="1"/>
              <w:right w:val="single" w:color="E0E0E0" w:sz="1"/>
            </w:tcBorders>
            <w:tcMar>
              <w:top w:type="dxa" w:w="140"/>
              <w:left w:type="dxa" w:w="200"/>
              <w:bottom w:type="dxa" w:w="140"/>
              <w:right w:type="dxa" w:w="200"/>
            </w:tcMar>
          </w:tcPr>
          <w:p>
            <w:r>
              <w:rPr>
                <w:rFonts w:ascii="Calibri" w:cs="Calibri" w:eastAsia="Calibri" w:hAnsi="Calibri"/>
                <w:b/>
                <w:bCs/>
                <w:color w:val="1A1A1A"/>
                <w:sz w:val="20"/>
                <w:szCs w:val="20"/>
              </w:rPr>
              <w:t xml:space="preserve">GoodFirms</w:t>
            </w:r>
          </w:p>
        </w:tc>
        <w:tc>
          <w:tcPr>
            <w:tcW w:type="pct" w:w="35%"/>
            <w:tcBorders>
              <w:top w:val="single" w:color="E0E0E0" w:sz="1"/>
              <w:left w:val="single" w:color="E0E0E0" w:sz="1"/>
              <w:bottom w:val="single" w:color="E0E0E0" w:sz="1"/>
              <w:right w:val="single" w:color="E0E0E0" w:sz="1"/>
            </w:tcBorders>
            <w:tcMar>
              <w:top w:type="dxa" w:w="140"/>
              <w:left w:type="dxa" w:w="200"/>
              <w:bottom w:type="dxa" w:w="140"/>
              <w:right w:type="dxa" w:w="200"/>
            </w:tcMar>
          </w:tcPr>
          <w:p>
            <w:r>
              <w:rPr>
                <w:rFonts w:ascii="Calibri" w:cs="Calibri" w:eastAsia="Calibri" w:hAnsi="Calibri"/>
                <w:b w:val="false"/>
                <w:bCs w:val="false"/>
                <w:color w:val="333333"/>
                <w:sz w:val="20"/>
                <w:szCs w:val="20"/>
              </w:rPr>
              <w:t xml:space="preserve">Software &amp; Web Engineering Reviews</w:t>
            </w:r>
          </w:p>
        </w:tc>
        <w:tc>
          <w:tcPr>
            <w:tcW w:type="pct" w:w="35%"/>
            <w:tcBorders>
              <w:top w:val="single" w:color="E0E0E0" w:sz="1"/>
              <w:left w:val="single" w:color="E0E0E0" w:sz="1"/>
              <w:bottom w:val="single" w:color="E0E0E0" w:sz="1"/>
              <w:right w:val="single" w:color="E0E0E0" w:sz="1"/>
            </w:tcBorders>
            <w:tcMar>
              <w:top w:type="dxa" w:w="140"/>
              <w:left w:type="dxa" w:w="200"/>
              <w:bottom w:type="dxa" w:w="140"/>
              <w:right w:type="dxa" w:w="200"/>
            </w:tcMar>
          </w:tcPr>
          <w:p>
            <w:r>
              <w:rPr>
                <w:rFonts w:ascii="Calibri" w:cs="Calibri" w:eastAsia="Calibri" w:hAnsi="Calibri"/>
                <w:b w:val="false"/>
                <w:bCs w:val="false"/>
                <w:color w:val="333333"/>
                <w:sz w:val="20"/>
                <w:szCs w:val="20"/>
              </w:rPr>
              <w:t xml:space="preserve">Strong corporate review indexation (DA 86)</w:t>
            </w:r>
          </w:p>
        </w:tc>
      </w:tr>
      <w:tr>
        <w:tc>
          <w:tcPr>
            <w:tcW w:type="pct" w:w="30%"/>
            <w:tcBorders>
              <w:top w:val="single" w:color="E0E0E0" w:sz="1"/>
              <w:left w:val="single" w:color="E0E0E0" w:sz="1"/>
              <w:bottom w:val="single" w:color="E0E0E0" w:sz="1"/>
              <w:right w:val="single" w:color="E0E0E0" w:sz="1"/>
            </w:tcBorders>
            <w:tcMar>
              <w:top w:type="dxa" w:w="140"/>
              <w:left w:type="dxa" w:w="200"/>
              <w:bottom w:type="dxa" w:w="140"/>
              <w:right w:type="dxa" w:w="200"/>
            </w:tcMar>
          </w:tcPr>
          <w:p>
            <w:r>
              <w:rPr>
                <w:rFonts w:ascii="Calibri" w:cs="Calibri" w:eastAsia="Calibri" w:hAnsi="Calibri"/>
                <w:b/>
                <w:bCs/>
                <w:color w:val="1A1A1A"/>
                <w:sz w:val="20"/>
                <w:szCs w:val="20"/>
              </w:rPr>
              <w:t xml:space="preserve">LinkedIn Company Page</w:t>
            </w:r>
          </w:p>
        </w:tc>
        <w:tc>
          <w:tcPr>
            <w:tcW w:type="pct" w:w="35%"/>
            <w:tcBorders>
              <w:top w:val="single" w:color="E0E0E0" w:sz="1"/>
              <w:left w:val="single" w:color="E0E0E0" w:sz="1"/>
              <w:bottom w:val="single" w:color="E0E0E0" w:sz="1"/>
              <w:right w:val="single" w:color="E0E0E0" w:sz="1"/>
            </w:tcBorders>
            <w:tcMar>
              <w:top w:type="dxa" w:w="140"/>
              <w:left w:type="dxa" w:w="200"/>
              <w:bottom w:type="dxa" w:w="140"/>
              <w:right w:type="dxa" w:w="200"/>
            </w:tcMar>
          </w:tcPr>
          <w:p>
            <w:r>
              <w:rPr>
                <w:rFonts w:ascii="Calibri" w:cs="Calibri" w:eastAsia="Calibri" w:hAnsi="Calibri"/>
                <w:b w:val="false"/>
                <w:bCs w:val="false"/>
                <w:color w:val="333333"/>
                <w:sz w:val="20"/>
                <w:szCs w:val="20"/>
              </w:rPr>
              <w:t xml:space="preserve">Professional Corporate Profile</w:t>
            </w:r>
          </w:p>
        </w:tc>
        <w:tc>
          <w:tcPr>
            <w:tcW w:type="pct" w:w="35%"/>
            <w:tcBorders>
              <w:top w:val="single" w:color="E0E0E0" w:sz="1"/>
              <w:left w:val="single" w:color="E0E0E0" w:sz="1"/>
              <w:bottom w:val="single" w:color="E0E0E0" w:sz="1"/>
              <w:right w:val="single" w:color="E0E0E0" w:sz="1"/>
            </w:tcBorders>
            <w:tcMar>
              <w:top w:type="dxa" w:w="140"/>
              <w:left w:type="dxa" w:w="200"/>
              <w:bottom w:type="dxa" w:w="140"/>
              <w:right w:type="dxa" w:w="200"/>
            </w:tcMar>
          </w:tcPr>
          <w:p>
            <w:r>
              <w:rPr>
                <w:rFonts w:ascii="Calibri" w:cs="Calibri" w:eastAsia="Calibri" w:hAnsi="Calibri"/>
                <w:b w:val="false"/>
                <w:bCs w:val="false"/>
                <w:color w:val="333333"/>
                <w:sz w:val="20"/>
                <w:szCs w:val="20"/>
              </w:rPr>
              <w:t xml:space="preserve">Core B2B executive social proof</w:t>
            </w:r>
          </w:p>
        </w:tc>
      </w:tr>
      <w:tr>
        <w:tc>
          <w:tcPr>
            <w:tcW w:type="pct" w:w="30%"/>
            <w:tcBorders>
              <w:top w:val="single" w:color="E0E0E0" w:sz="1"/>
              <w:left w:val="single" w:color="E0E0E0" w:sz="1"/>
              <w:bottom w:val="single" w:color="E0E0E0" w:sz="1"/>
              <w:right w:val="single" w:color="E0E0E0" w:sz="1"/>
            </w:tcBorders>
            <w:tcMar>
              <w:top w:type="dxa" w:w="140"/>
              <w:left w:type="dxa" w:w="200"/>
              <w:bottom w:type="dxa" w:w="140"/>
              <w:right w:type="dxa" w:w="200"/>
            </w:tcMar>
          </w:tcPr>
          <w:p>
            <w:r>
              <w:rPr>
                <w:rFonts w:ascii="Calibri" w:cs="Calibri" w:eastAsia="Calibri" w:hAnsi="Calibri"/>
                <w:b/>
                <w:bCs/>
                <w:color w:val="1A1A1A"/>
                <w:sz w:val="20"/>
                <w:szCs w:val="20"/>
              </w:rPr>
              <w:t xml:space="preserve">Trustpilot</w:t>
            </w:r>
          </w:p>
        </w:tc>
        <w:tc>
          <w:tcPr>
            <w:tcW w:type="pct" w:w="35%"/>
            <w:tcBorders>
              <w:top w:val="single" w:color="E0E0E0" w:sz="1"/>
              <w:left w:val="single" w:color="E0E0E0" w:sz="1"/>
              <w:bottom w:val="single" w:color="E0E0E0" w:sz="1"/>
              <w:right w:val="single" w:color="E0E0E0" w:sz="1"/>
            </w:tcBorders>
            <w:tcMar>
              <w:top w:type="dxa" w:w="140"/>
              <w:left w:type="dxa" w:w="200"/>
              <w:bottom w:type="dxa" w:w="140"/>
              <w:right w:type="dxa" w:w="200"/>
            </w:tcMar>
          </w:tcPr>
          <w:p>
            <w:r>
              <w:rPr>
                <w:rFonts w:ascii="Calibri" w:cs="Calibri" w:eastAsia="Calibri" w:hAnsi="Calibri"/>
                <w:b w:val="false"/>
                <w:bCs w:val="false"/>
                <w:color w:val="333333"/>
                <w:sz w:val="20"/>
                <w:szCs w:val="20"/>
              </w:rPr>
              <w:t xml:space="preserve">Public Review Verification</w:t>
            </w:r>
          </w:p>
        </w:tc>
        <w:tc>
          <w:tcPr>
            <w:tcW w:type="pct" w:w="35%"/>
            <w:tcBorders>
              <w:top w:val="single" w:color="E0E0E0" w:sz="1"/>
              <w:left w:val="single" w:color="E0E0E0" w:sz="1"/>
              <w:bottom w:val="single" w:color="E0E0E0" w:sz="1"/>
              <w:right w:val="single" w:color="E0E0E0" w:sz="1"/>
            </w:tcBorders>
            <w:tcMar>
              <w:top w:type="dxa" w:w="140"/>
              <w:left w:type="dxa" w:w="200"/>
              <w:bottom w:type="dxa" w:w="140"/>
              <w:right w:type="dxa" w:w="200"/>
            </w:tcMar>
          </w:tcPr>
          <w:p>
            <w:r>
              <w:rPr>
                <w:rFonts w:ascii="Calibri" w:cs="Calibri" w:eastAsia="Calibri" w:hAnsi="Calibri"/>
                <w:b w:val="false"/>
                <w:bCs w:val="false"/>
                <w:color w:val="333333"/>
                <w:sz w:val="20"/>
                <w:szCs w:val="20"/>
              </w:rPr>
              <w:t xml:space="preserve">Starred rich snippet trigger in SERPs</w:t>
            </w:r>
          </w:p>
        </w:tc>
      </w:tr>
      <w:tr>
        <w:tc>
          <w:tcPr>
            <w:tcW w:type="pct" w:w="30%"/>
            <w:tcBorders>
              <w:top w:val="single" w:color="E0E0E0" w:sz="1"/>
              <w:left w:val="single" w:color="E0E0E0" w:sz="1"/>
              <w:bottom w:val="single" w:color="E0E0E0" w:sz="1"/>
              <w:right w:val="single" w:color="E0E0E0" w:sz="1"/>
            </w:tcBorders>
            <w:tcMar>
              <w:top w:type="dxa" w:w="140"/>
              <w:left w:type="dxa" w:w="200"/>
              <w:bottom w:type="dxa" w:w="140"/>
              <w:right w:type="dxa" w:w="200"/>
            </w:tcMar>
          </w:tcPr>
          <w:p>
            <w:r>
              <w:rPr>
                <w:rFonts w:ascii="Calibri" w:cs="Calibri" w:eastAsia="Calibri" w:hAnsi="Calibri"/>
                <w:b/>
                <w:bCs/>
                <w:color w:val="1A1A1A"/>
                <w:sz w:val="20"/>
                <w:szCs w:val="20"/>
              </w:rPr>
              <w:t xml:space="preserve">IndiaMART</w:t>
            </w:r>
          </w:p>
        </w:tc>
        <w:tc>
          <w:tcPr>
            <w:tcW w:type="pct" w:w="35%"/>
            <w:tcBorders>
              <w:top w:val="single" w:color="E0E0E0" w:sz="1"/>
              <w:left w:val="single" w:color="E0E0E0" w:sz="1"/>
              <w:bottom w:val="single" w:color="E0E0E0" w:sz="1"/>
              <w:right w:val="single" w:color="E0E0E0" w:sz="1"/>
            </w:tcBorders>
            <w:tcMar>
              <w:top w:type="dxa" w:w="140"/>
              <w:left w:type="dxa" w:w="200"/>
              <w:bottom w:type="dxa" w:w="140"/>
              <w:right w:type="dxa" w:w="200"/>
            </w:tcMar>
          </w:tcPr>
          <w:p>
            <w:r>
              <w:rPr>
                <w:rFonts w:ascii="Calibri" w:cs="Calibri" w:eastAsia="Calibri" w:hAnsi="Calibri"/>
                <w:b w:val="false"/>
                <w:bCs w:val="false"/>
                <w:color w:val="333333"/>
                <w:sz w:val="20"/>
                <w:szCs w:val="20"/>
              </w:rPr>
              <w:t xml:space="preserve">B2B Enterprise Supplier Portal</w:t>
            </w:r>
          </w:p>
        </w:tc>
        <w:tc>
          <w:tcPr>
            <w:tcW w:type="pct" w:w="35%"/>
            <w:tcBorders>
              <w:top w:val="single" w:color="E0E0E0" w:sz="1"/>
              <w:left w:val="single" w:color="E0E0E0" w:sz="1"/>
              <w:bottom w:val="single" w:color="E0E0E0" w:sz="1"/>
              <w:right w:val="single" w:color="E0E0E0" w:sz="1"/>
            </w:tcBorders>
            <w:tcMar>
              <w:top w:type="dxa" w:w="140"/>
              <w:left w:type="dxa" w:w="200"/>
              <w:bottom w:type="dxa" w:w="140"/>
              <w:right w:type="dxa" w:w="200"/>
            </w:tcMar>
          </w:tcPr>
          <w:p>
            <w:r>
              <w:rPr>
                <w:rFonts w:ascii="Calibri" w:cs="Calibri" w:eastAsia="Calibri" w:hAnsi="Calibri"/>
                <w:b w:val="false"/>
                <w:bCs w:val="false"/>
                <w:color w:val="333333"/>
                <w:sz w:val="20"/>
                <w:szCs w:val="20"/>
              </w:rPr>
              <w:t xml:space="preserve">High domestic commercial domain authority</w:t>
            </w:r>
          </w:p>
        </w:tc>
      </w:tr>
      <w:tr>
        <w:tc>
          <w:tcPr>
            <w:tcW w:type="pct" w:w="30%"/>
            <w:tcBorders>
              <w:top w:val="single" w:color="E0E0E0" w:sz="1"/>
              <w:left w:val="single" w:color="E0E0E0" w:sz="1"/>
              <w:bottom w:val="single" w:color="E0E0E0" w:sz="1"/>
              <w:right w:val="single" w:color="E0E0E0" w:sz="1"/>
            </w:tcBorders>
            <w:tcMar>
              <w:top w:type="dxa" w:w="140"/>
              <w:left w:type="dxa" w:w="200"/>
              <w:bottom w:type="dxa" w:w="140"/>
              <w:right w:type="dxa" w:w="200"/>
            </w:tcMar>
          </w:tcPr>
          <w:p>
            <w:r>
              <w:rPr>
                <w:rFonts w:ascii="Calibri" w:cs="Calibri" w:eastAsia="Calibri" w:hAnsi="Calibri"/>
                <w:b/>
                <w:bCs/>
                <w:color w:val="1A1A1A"/>
                <w:sz w:val="20"/>
                <w:szCs w:val="20"/>
              </w:rPr>
              <w:t xml:space="preserve">Justdial Business</w:t>
            </w:r>
          </w:p>
        </w:tc>
        <w:tc>
          <w:tcPr>
            <w:tcW w:type="pct" w:w="35%"/>
            <w:tcBorders>
              <w:top w:val="single" w:color="E0E0E0" w:sz="1"/>
              <w:left w:val="single" w:color="E0E0E0" w:sz="1"/>
              <w:bottom w:val="single" w:color="E0E0E0" w:sz="1"/>
              <w:right w:val="single" w:color="E0E0E0" w:sz="1"/>
            </w:tcBorders>
            <w:tcMar>
              <w:top w:type="dxa" w:w="140"/>
              <w:left w:type="dxa" w:w="200"/>
              <w:bottom w:type="dxa" w:w="140"/>
              <w:right w:type="dxa" w:w="200"/>
            </w:tcMar>
          </w:tcPr>
          <w:p>
            <w:r>
              <w:rPr>
                <w:rFonts w:ascii="Calibri" w:cs="Calibri" w:eastAsia="Calibri" w:hAnsi="Calibri"/>
                <w:b w:val="false"/>
                <w:bCs w:val="false"/>
                <w:color w:val="333333"/>
                <w:sz w:val="20"/>
                <w:szCs w:val="20"/>
              </w:rPr>
              <w:t xml:space="preserve">Local Service Indexation</w:t>
            </w:r>
          </w:p>
        </w:tc>
        <w:tc>
          <w:tcPr>
            <w:tcW w:type="pct" w:w="35%"/>
            <w:tcBorders>
              <w:top w:val="single" w:color="E0E0E0" w:sz="1"/>
              <w:left w:val="single" w:color="E0E0E0" w:sz="1"/>
              <w:bottom w:val="single" w:color="E0E0E0" w:sz="1"/>
              <w:right w:val="single" w:color="E0E0E0" w:sz="1"/>
            </w:tcBorders>
            <w:tcMar>
              <w:top w:type="dxa" w:w="140"/>
              <w:left w:type="dxa" w:w="200"/>
              <w:bottom w:type="dxa" w:w="140"/>
              <w:right w:type="dxa" w:w="200"/>
            </w:tcMar>
          </w:tcPr>
          <w:p>
            <w:r>
              <w:rPr>
                <w:rFonts w:ascii="Calibri" w:cs="Calibri" w:eastAsia="Calibri" w:hAnsi="Calibri"/>
                <w:b w:val="false"/>
                <w:bCs w:val="false"/>
                <w:color w:val="333333"/>
                <w:sz w:val="20"/>
                <w:szCs w:val="20"/>
              </w:rPr>
              <w:t xml:space="preserve">Immediate geo-localized NAP signal</w:t>
            </w:r>
          </w:p>
        </w:tc>
      </w:tr>
      <w:tr>
        <w:tc>
          <w:tcPr>
            <w:tcW w:type="pct" w:w="30%"/>
            <w:tcBorders>
              <w:top w:val="single" w:color="E0E0E0" w:sz="1"/>
              <w:left w:val="single" w:color="E0E0E0" w:sz="1"/>
              <w:bottom w:val="single" w:color="E0E0E0" w:sz="1"/>
              <w:right w:val="single" w:color="E0E0E0" w:sz="1"/>
            </w:tcBorders>
            <w:tcMar>
              <w:top w:type="dxa" w:w="140"/>
              <w:left w:type="dxa" w:w="200"/>
              <w:bottom w:type="dxa" w:w="140"/>
              <w:right w:type="dxa" w:w="200"/>
            </w:tcMar>
          </w:tcPr>
          <w:p>
            <w:r>
              <w:rPr>
                <w:rFonts w:ascii="Calibri" w:cs="Calibri" w:eastAsia="Calibri" w:hAnsi="Calibri"/>
                <w:b/>
                <w:bCs/>
                <w:color w:val="1A1A1A"/>
                <w:sz w:val="20"/>
                <w:szCs w:val="20"/>
              </w:rPr>
              <w:t xml:space="preserve">ZoomInfo / Apollo.io</w:t>
            </w:r>
          </w:p>
        </w:tc>
        <w:tc>
          <w:tcPr>
            <w:tcW w:type="pct" w:w="35%"/>
            <w:tcBorders>
              <w:top w:val="single" w:color="E0E0E0" w:sz="1"/>
              <w:left w:val="single" w:color="E0E0E0" w:sz="1"/>
              <w:bottom w:val="single" w:color="E0E0E0" w:sz="1"/>
              <w:right w:val="single" w:color="E0E0E0" w:sz="1"/>
            </w:tcBorders>
            <w:tcMar>
              <w:top w:type="dxa" w:w="140"/>
              <w:left w:type="dxa" w:w="200"/>
              <w:bottom w:type="dxa" w:w="140"/>
              <w:right w:type="dxa" w:w="200"/>
            </w:tcMar>
          </w:tcPr>
          <w:p>
            <w:r>
              <w:rPr>
                <w:rFonts w:ascii="Calibri" w:cs="Calibri" w:eastAsia="Calibri" w:hAnsi="Calibri"/>
                <w:b w:val="false"/>
                <w:bCs w:val="false"/>
                <w:color w:val="333333"/>
                <w:sz w:val="20"/>
                <w:szCs w:val="20"/>
              </w:rPr>
              <w:t xml:space="preserve">B2B Enterprise Firmographic Database</w:t>
            </w:r>
          </w:p>
        </w:tc>
        <w:tc>
          <w:tcPr>
            <w:tcW w:type="pct" w:w="35%"/>
            <w:tcBorders>
              <w:top w:val="single" w:color="E0E0E0" w:sz="1"/>
              <w:left w:val="single" w:color="E0E0E0" w:sz="1"/>
              <w:bottom w:val="single" w:color="E0E0E0" w:sz="1"/>
              <w:right w:val="single" w:color="E0E0E0" w:sz="1"/>
            </w:tcBorders>
            <w:tcMar>
              <w:top w:type="dxa" w:w="140"/>
              <w:left w:type="dxa" w:w="200"/>
              <w:bottom w:type="dxa" w:w="140"/>
              <w:right w:type="dxa" w:w="200"/>
            </w:tcMar>
          </w:tcPr>
          <w:p>
            <w:r>
              <w:rPr>
                <w:rFonts w:ascii="Calibri" w:cs="Calibri" w:eastAsia="Calibri" w:hAnsi="Calibri"/>
                <w:b w:val="false"/>
                <w:bCs w:val="false"/>
                <w:color w:val="333333"/>
                <w:sz w:val="20"/>
                <w:szCs w:val="20"/>
              </w:rPr>
              <w:t xml:space="preserve">Enterprise procurement vendor verification</w:t>
            </w:r>
          </w:p>
        </w:tc>
      </w:tr>
      <w:tr>
        <w:tc>
          <w:tcPr>
            <w:tcW w:type="pct" w:w="30%"/>
            <w:tcBorders>
              <w:top w:val="single" w:color="E0E0E0" w:sz="1"/>
              <w:left w:val="single" w:color="E0E0E0" w:sz="1"/>
              <w:bottom w:val="single" w:color="E0E0E0" w:sz="1"/>
              <w:right w:val="single" w:color="E0E0E0" w:sz="1"/>
            </w:tcBorders>
            <w:tcMar>
              <w:top w:type="dxa" w:w="140"/>
              <w:left w:type="dxa" w:w="200"/>
              <w:bottom w:type="dxa" w:w="140"/>
              <w:right w:type="dxa" w:w="200"/>
            </w:tcMar>
          </w:tcPr>
          <w:p>
            <w:r>
              <w:rPr>
                <w:rFonts w:ascii="Calibri" w:cs="Calibri" w:eastAsia="Calibri" w:hAnsi="Calibri"/>
                <w:b/>
                <w:bCs/>
                <w:color w:val="1A1A1A"/>
                <w:sz w:val="20"/>
                <w:szCs w:val="20"/>
              </w:rPr>
              <w:t xml:space="preserve">GitHub Organization</w:t>
            </w:r>
          </w:p>
        </w:tc>
        <w:tc>
          <w:tcPr>
            <w:tcW w:type="pct" w:w="35%"/>
            <w:tcBorders>
              <w:top w:val="single" w:color="E0E0E0" w:sz="1"/>
              <w:left w:val="single" w:color="E0E0E0" w:sz="1"/>
              <w:bottom w:val="single" w:color="E0E0E0" w:sz="1"/>
              <w:right w:val="single" w:color="E0E0E0" w:sz="1"/>
            </w:tcBorders>
            <w:tcMar>
              <w:top w:type="dxa" w:w="140"/>
              <w:left w:type="dxa" w:w="200"/>
              <w:bottom w:type="dxa" w:w="140"/>
              <w:right w:type="dxa" w:w="200"/>
            </w:tcMar>
          </w:tcPr>
          <w:p>
            <w:r>
              <w:rPr>
                <w:rFonts w:ascii="Calibri" w:cs="Calibri" w:eastAsia="Calibri" w:hAnsi="Calibri"/>
                <w:b w:val="false"/>
                <w:bCs w:val="false"/>
                <w:color w:val="333333"/>
                <w:sz w:val="20"/>
                <w:szCs w:val="20"/>
              </w:rPr>
              <w:t xml:space="preserve">Engineering &amp; Developer Authority</w:t>
            </w:r>
          </w:p>
        </w:tc>
        <w:tc>
          <w:tcPr>
            <w:tcW w:type="pct" w:w="35%"/>
            <w:tcBorders>
              <w:top w:val="single" w:color="E0E0E0" w:sz="1"/>
              <w:left w:val="single" w:color="E0E0E0" w:sz="1"/>
              <w:bottom w:val="single" w:color="E0E0E0" w:sz="1"/>
              <w:right w:val="single" w:color="E0E0E0" w:sz="1"/>
            </w:tcBorders>
            <w:tcMar>
              <w:top w:type="dxa" w:w="140"/>
              <w:left w:type="dxa" w:w="200"/>
              <w:bottom w:type="dxa" w:w="140"/>
              <w:right w:type="dxa" w:w="200"/>
            </w:tcMar>
          </w:tcPr>
          <w:p>
            <w:r>
              <w:rPr>
                <w:rFonts w:ascii="Calibri" w:cs="Calibri" w:eastAsia="Calibri" w:hAnsi="Calibri"/>
                <w:b w:val="false"/>
                <w:bCs w:val="false"/>
                <w:color w:val="333333"/>
                <w:sz w:val="20"/>
                <w:szCs w:val="20"/>
              </w:rPr>
              <w:t xml:space="preserve">Demonstrates genuine software capability</w:t>
            </w:r>
          </w:p>
        </w:tc>
      </w:tr>
      <w:tr>
        <w:tc>
          <w:tcPr>
            <w:tcW w:type="pct" w:w="30%"/>
            <w:tcBorders>
              <w:top w:val="single" w:color="E0E0E0" w:sz="1"/>
              <w:left w:val="single" w:color="E0E0E0" w:sz="1"/>
              <w:bottom w:val="single" w:color="E0E0E0" w:sz="1"/>
              <w:right w:val="single" w:color="E0E0E0" w:sz="1"/>
            </w:tcBorders>
            <w:tcMar>
              <w:top w:type="dxa" w:w="140"/>
              <w:left w:type="dxa" w:w="200"/>
              <w:bottom w:type="dxa" w:w="140"/>
              <w:right w:type="dxa" w:w="200"/>
            </w:tcMar>
          </w:tcPr>
          <w:p>
            <w:r>
              <w:rPr>
                <w:rFonts w:ascii="Calibri" w:cs="Calibri" w:eastAsia="Calibri" w:hAnsi="Calibri"/>
                <w:b/>
                <w:bCs/>
                <w:color w:val="1A1A1A"/>
                <w:sz w:val="20"/>
                <w:szCs w:val="20"/>
              </w:rPr>
              <w:t xml:space="preserve">Medium Brand Publication</w:t>
            </w:r>
          </w:p>
        </w:tc>
        <w:tc>
          <w:tcPr>
            <w:tcW w:type="pct" w:w="35%"/>
            <w:tcBorders>
              <w:top w:val="single" w:color="E0E0E0" w:sz="1"/>
              <w:left w:val="single" w:color="E0E0E0" w:sz="1"/>
              <w:bottom w:val="single" w:color="E0E0E0" w:sz="1"/>
              <w:right w:val="single" w:color="E0E0E0" w:sz="1"/>
            </w:tcBorders>
            <w:tcMar>
              <w:top w:type="dxa" w:w="140"/>
              <w:left w:type="dxa" w:w="200"/>
              <w:bottom w:type="dxa" w:w="140"/>
              <w:right w:type="dxa" w:w="200"/>
            </w:tcMar>
          </w:tcPr>
          <w:p>
            <w:r>
              <w:rPr>
                <w:rFonts w:ascii="Calibri" w:cs="Calibri" w:eastAsia="Calibri" w:hAnsi="Calibri"/>
                <w:b w:val="false"/>
                <w:bCs w:val="false"/>
                <w:color w:val="333333"/>
                <w:sz w:val="20"/>
                <w:szCs w:val="20"/>
              </w:rPr>
              <w:t xml:space="preserve">Content Authority &amp; Thought Leadership</w:t>
            </w:r>
          </w:p>
        </w:tc>
        <w:tc>
          <w:tcPr>
            <w:tcW w:type="pct" w:w="35%"/>
            <w:tcBorders>
              <w:top w:val="single" w:color="E0E0E0" w:sz="1"/>
              <w:left w:val="single" w:color="E0E0E0" w:sz="1"/>
              <w:bottom w:val="single" w:color="E0E0E0" w:sz="1"/>
              <w:right w:val="single" w:color="E0E0E0" w:sz="1"/>
            </w:tcBorders>
            <w:tcMar>
              <w:top w:type="dxa" w:w="140"/>
              <w:left w:type="dxa" w:w="200"/>
              <w:bottom w:type="dxa" w:w="140"/>
              <w:right w:type="dxa" w:w="200"/>
            </w:tcMar>
          </w:tcPr>
          <w:p>
            <w:r>
              <w:rPr>
                <w:rFonts w:ascii="Calibri" w:cs="Calibri" w:eastAsia="Calibri" w:hAnsi="Calibri"/>
                <w:b w:val="false"/>
                <w:bCs w:val="false"/>
                <w:color w:val="333333"/>
                <w:sz w:val="20"/>
                <w:szCs w:val="20"/>
              </w:rPr>
              <w:t xml:space="preserve">Syndication backlink to rankursite.com</w:t>
            </w:r>
          </w:p>
        </w:tc>
      </w:tr>
    </w:tbl>
    <w:p>
      <w:pPr>
        <w:spacing w:after="100" w:before="400"/>
      </w:pPr>
      <w:r>
        <w:rPr>
          <w:b/>
          <w:bCs/>
          <w:color w:val="C9A84C"/>
        </w:rPr>
        <w:t xml:space="preserve">Execution Priority:</w:t>
      </w:r>
      <w:r>
        <w:t xml:space="preserve"> Complete GMB verification using the exact NAP above. Within 7 days of verification, publish all 4 Products and the first 2 Client Showcase Updates to immediately seed Google with our live backlink infrastructure.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2026-09-19T06:48:18.471Z</dcterms:created>
  <dcterms:modified xsi:type="dcterms:W3CDTF">2026-09-19T06:48:18.472Z</dcterms:modified>
</cp:coreProperties>
</file>

<file path=docProps/custom.xml><?xml version="1.0" encoding="utf-8"?>
<Properties xmlns="http://schemas.openxmlformats.org/officeDocument/2006/custom-properties" xmlns:vt="http://schemas.openxmlformats.org/officeDocument/2006/docPropsVTypes"/>
</file>