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5FC6" w14:textId="77777777" w:rsidR="00273490" w:rsidRPr="00AB1586" w:rsidRDefault="00000000">
      <w:pPr>
        <w:spacing w:before="160" w:after="0" w:line="240" w:lineRule="auto"/>
        <w:jc w:val="center"/>
        <w:rPr>
          <w:rFonts w:ascii="Porto Sans" w:hAnsi="Porto Sans"/>
        </w:rPr>
      </w:pPr>
      <w:r w:rsidRPr="00AB1586">
        <w:rPr>
          <w:rFonts w:ascii="Porto Sans" w:hAnsi="Porto Sans"/>
          <w:b/>
          <w:color w:val="2E75B6"/>
          <w:sz w:val="17"/>
        </w:rPr>
        <w:t>LABORATÓRIO DE DESENVOLVIMENTO DE SOFTWARE</w:t>
      </w:r>
    </w:p>
    <w:p w14:paraId="58F80CE3" w14:textId="77777777" w:rsidR="00273490" w:rsidRPr="00AB1586" w:rsidRDefault="00000000">
      <w:pPr>
        <w:pStyle w:val="Title"/>
        <w:spacing w:before="0" w:after="200"/>
        <w:jc w:val="center"/>
        <w:rPr>
          <w:rFonts w:ascii="Porto Sans" w:hAnsi="Porto Sans"/>
        </w:rPr>
      </w:pPr>
      <w:r w:rsidRPr="00AB1586">
        <w:rPr>
          <w:rFonts w:ascii="Porto Sans" w:eastAsia="Calibri" w:hAnsi="Porto Sans" w:cs="Calibri"/>
        </w:rPr>
        <w:t>DECLARAÇÃO DE ÂMBITO</w:t>
      </w:r>
    </w:p>
    <w:p w14:paraId="3F135820" w14:textId="77777777" w:rsidR="00273490" w:rsidRPr="00AB1586" w:rsidRDefault="00000000">
      <w:pPr>
        <w:keepNext/>
        <w:spacing w:before="160" w:after="0" w:line="240" w:lineRule="auto"/>
        <w:rPr>
          <w:rFonts w:ascii="Porto Sans" w:hAnsi="Porto Sans"/>
        </w:rPr>
      </w:pPr>
      <w:r w:rsidRPr="00AB1586">
        <w:rPr>
          <w:rFonts w:ascii="Porto Sans" w:hAnsi="Porto Sans"/>
          <w:b/>
          <w:color w:val="17365D"/>
          <w:sz w:val="23"/>
        </w:rPr>
        <w:t>1. Identificação do sistema</w:t>
      </w:r>
    </w:p>
    <w:tbl>
      <w:tblPr>
        <w:tblW w:w="11056" w:type="dxa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8845"/>
      </w:tblGrid>
      <w:tr w:rsidR="00273490" w:rsidRPr="00AB1586" w14:paraId="6E08FFD2" w14:textId="77777777">
        <w:trPr>
          <w:cantSplit/>
          <w:jc w:val="center"/>
        </w:trPr>
        <w:tc>
          <w:tcPr>
            <w:tcW w:w="221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8A089" w14:textId="77777777" w:rsidR="00273490" w:rsidRPr="00AB1586" w:rsidRDefault="00000000">
            <w:pPr>
              <w:spacing w:after="0" w:line="240" w:lineRule="auto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17365D"/>
                <w:sz w:val="18"/>
              </w:rPr>
              <w:t>Grupo</w:t>
            </w:r>
          </w:p>
        </w:tc>
        <w:tc>
          <w:tcPr>
            <w:tcW w:w="884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38A9B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8"/>
              </w:rPr>
              <w:t>G08</w:t>
            </w:r>
          </w:p>
        </w:tc>
      </w:tr>
      <w:tr w:rsidR="00273490" w:rsidRPr="00AB1586" w14:paraId="40DEB735" w14:textId="77777777">
        <w:trPr>
          <w:cantSplit/>
          <w:jc w:val="center"/>
        </w:trPr>
        <w:tc>
          <w:tcPr>
            <w:tcW w:w="221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B1F3C" w14:textId="77777777" w:rsidR="00273490" w:rsidRPr="00AB1586" w:rsidRDefault="00000000">
            <w:pPr>
              <w:spacing w:after="0" w:line="240" w:lineRule="auto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17365D"/>
                <w:sz w:val="18"/>
              </w:rPr>
              <w:t>Designação do sistema</w:t>
            </w:r>
          </w:p>
        </w:tc>
        <w:tc>
          <w:tcPr>
            <w:tcW w:w="884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A3C0D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8"/>
              </w:rPr>
              <w:t>Gestão de Clínica Veterinária</w:t>
            </w:r>
          </w:p>
        </w:tc>
      </w:tr>
      <w:tr w:rsidR="00273490" w:rsidRPr="00AB1586" w14:paraId="4552D958" w14:textId="77777777">
        <w:trPr>
          <w:cantSplit/>
          <w:jc w:val="center"/>
        </w:trPr>
        <w:tc>
          <w:tcPr>
            <w:tcW w:w="221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74917" w14:textId="77777777" w:rsidR="00273490" w:rsidRPr="00AB1586" w:rsidRDefault="00000000">
            <w:pPr>
              <w:spacing w:after="0" w:line="240" w:lineRule="auto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17365D"/>
                <w:sz w:val="18"/>
              </w:rPr>
              <w:t>Proposta de Sistema de referência</w:t>
            </w:r>
          </w:p>
        </w:tc>
        <w:tc>
          <w:tcPr>
            <w:tcW w:w="884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BD337" w14:textId="2FF06E95" w:rsidR="00E860E5" w:rsidRPr="00AB1586" w:rsidRDefault="00047A6E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8"/>
              </w:rPr>
              <w:t>m3-proposta-sistema-v04.pdf</w:t>
            </w:r>
          </w:p>
        </w:tc>
      </w:tr>
    </w:tbl>
    <w:p w14:paraId="1668E242" w14:textId="77777777" w:rsidR="00273490" w:rsidRPr="00AB1586" w:rsidRDefault="00000000">
      <w:pPr>
        <w:keepNext/>
        <w:spacing w:before="160" w:after="0" w:line="240" w:lineRule="auto"/>
        <w:rPr>
          <w:rFonts w:ascii="Porto Sans" w:hAnsi="Porto Sans"/>
        </w:rPr>
      </w:pPr>
      <w:r w:rsidRPr="00AB1586">
        <w:rPr>
          <w:rFonts w:ascii="Porto Sans" w:hAnsi="Porto Sans"/>
          <w:b/>
          <w:color w:val="17365D"/>
          <w:sz w:val="23"/>
        </w:rPr>
        <w:t>2. Matriz do âmbito funcional</w:t>
      </w:r>
    </w:p>
    <w:p w14:paraId="50BCB6EC" w14:textId="77777777" w:rsidR="00273490" w:rsidRPr="00AB1586" w:rsidRDefault="00273490">
      <w:pPr>
        <w:spacing w:after="0"/>
        <w:rPr>
          <w:rFonts w:ascii="Porto Sans" w:hAnsi="Porto Sans"/>
        </w:rPr>
      </w:pPr>
    </w:p>
    <w:tbl>
      <w:tblPr>
        <w:tblW w:w="1105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1493"/>
        <w:gridCol w:w="1880"/>
        <w:gridCol w:w="1769"/>
        <w:gridCol w:w="1769"/>
        <w:gridCol w:w="3592"/>
      </w:tblGrid>
      <w:tr w:rsidR="00273490" w:rsidRPr="00AB1586" w14:paraId="537459D4" w14:textId="77777777" w:rsidTr="007C28E3">
        <w:trPr>
          <w:cantSplit/>
          <w:tblHeader/>
          <w:jc w:val="center"/>
        </w:trPr>
        <w:tc>
          <w:tcPr>
            <w:tcW w:w="553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2C2575E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>Código</w:t>
            </w:r>
          </w:p>
        </w:tc>
        <w:tc>
          <w:tcPr>
            <w:tcW w:w="1493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49EB6F9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>Título</w:t>
            </w:r>
          </w:p>
        </w:tc>
        <w:tc>
          <w:tcPr>
            <w:tcW w:w="1880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7DE31D1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>Âmbito no backend</w:t>
            </w:r>
          </w:p>
        </w:tc>
        <w:tc>
          <w:tcPr>
            <w:tcW w:w="1769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22A0415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 xml:space="preserve">Âmbito no </w:t>
            </w:r>
            <w:proofErr w:type="spellStart"/>
            <w:r w:rsidRPr="00AB1586">
              <w:rPr>
                <w:rFonts w:ascii="Porto Sans" w:hAnsi="Porto Sans"/>
                <w:b/>
                <w:color w:val="FFFFFF"/>
                <w:sz w:val="13"/>
              </w:rPr>
              <w:t>frontend</w:t>
            </w:r>
            <w:proofErr w:type="spellEnd"/>
            <w:r w:rsidRPr="00AB1586">
              <w:rPr>
                <w:rFonts w:ascii="Porto Sans" w:hAnsi="Porto Sans"/>
                <w:b/>
                <w:color w:val="FFFFFF"/>
                <w:sz w:val="13"/>
              </w:rPr>
              <w:t>-web</w:t>
            </w:r>
          </w:p>
        </w:tc>
        <w:tc>
          <w:tcPr>
            <w:tcW w:w="1769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0EB557F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 xml:space="preserve">Âmbito no </w:t>
            </w:r>
            <w:proofErr w:type="spellStart"/>
            <w:r w:rsidRPr="00AB1586">
              <w:rPr>
                <w:rFonts w:ascii="Porto Sans" w:hAnsi="Porto Sans"/>
                <w:b/>
                <w:color w:val="FFFFFF"/>
                <w:sz w:val="13"/>
              </w:rPr>
              <w:t>frontend</w:t>
            </w:r>
            <w:proofErr w:type="spellEnd"/>
            <w:r w:rsidRPr="00AB1586">
              <w:rPr>
                <w:rFonts w:ascii="Porto Sans" w:hAnsi="Porto Sans"/>
                <w:b/>
                <w:color w:val="FFFFFF"/>
                <w:sz w:val="13"/>
              </w:rPr>
              <w:t>-mobile</w:t>
            </w:r>
          </w:p>
        </w:tc>
        <w:tc>
          <w:tcPr>
            <w:tcW w:w="3592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F3BC800" w14:textId="77777777" w:rsidR="00273490" w:rsidRPr="00AB1586" w:rsidRDefault="0000000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b/>
                <w:color w:val="FFFFFF"/>
                <w:sz w:val="13"/>
              </w:rPr>
              <w:t>Elementos fora do âmbito e justificação</w:t>
            </w:r>
          </w:p>
        </w:tc>
      </w:tr>
      <w:tr w:rsidR="00273490" w:rsidRPr="00AB1586" w14:paraId="74F61882" w14:textId="77777777" w:rsidTr="007C28E3">
        <w:trPr>
          <w:cantSplit/>
          <w:jc w:val="center"/>
        </w:trPr>
        <w:tc>
          <w:tcPr>
            <w:tcW w:w="55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1A6EBD7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F001</w:t>
            </w:r>
          </w:p>
        </w:tc>
        <w:tc>
          <w:tcPr>
            <w:tcW w:w="149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BB25811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Autenticação e Controlos de Acesso</w:t>
            </w:r>
          </w:p>
        </w:tc>
        <w:tc>
          <w:tcPr>
            <w:tcW w:w="188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E97086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Gestão de perfis (Administrador, Rececionista, Veterinário, Auxiliar Veterinário e Cliente), operações de início e fim de sessão e aplicação das permissões a cada operação. Gestão das contas de acesso (criação, atualização, atribuição de perfil e bloqueio), dos dados gerais da clínica e das configurações do sistema, reservada ao Administrador, com exceção da criação e atualização das contas de Clientes, que também podem ser feitas pelo Rececionista. O perfil Administrador não permite consultar, criar ou alterar registos clínicos.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D8E9155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Início e fim de sessão dos utilizadores internos. Área reservada ao Administrador para criar e gerir contas de funcionários, atribuir perfis, editar dados e bloquear contas, e para consultar e atualizar os dados gerais da clínica e as configurações do sistema. O Administrador e o Rececionista podem criar e atualizar contas de Clientes. A interface do Administrador não permite consultar, criar ou alterar registos clínicos.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16A3CC1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Início e fim de sessão exclusivos do perfil Cliente (Proprietário do animal), com acesso às funcionalidades de consulta previstas para este perfil. Não é possível administrar contas nem alterar dados dos animais.</w:t>
            </w:r>
          </w:p>
        </w:tc>
        <w:tc>
          <w:tcPr>
            <w:tcW w:w="3592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3A9678B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A aplicação mobile destina-se apenas ao Cliente, pelo que não tem funcionalidades de administração nem acesso para funcionários. Ficam excluídos o registo autónomo de utilizadores, a recuperação automática de palavras-passe, a autenticação multifator e a integração com fornecedores externos de identidade.</w:t>
            </w:r>
          </w:p>
        </w:tc>
      </w:tr>
      <w:tr w:rsidR="00273490" w:rsidRPr="00AB1586" w14:paraId="2AAC34F1" w14:textId="77777777" w:rsidTr="007C28E3">
        <w:trPr>
          <w:cantSplit/>
          <w:jc w:val="center"/>
        </w:trPr>
        <w:tc>
          <w:tcPr>
            <w:tcW w:w="55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01736CE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F002</w:t>
            </w:r>
          </w:p>
        </w:tc>
        <w:tc>
          <w:tcPr>
            <w:tcW w:w="149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59E2ED0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Gestão de pacientes (Fichas dos animais)</w:t>
            </w:r>
          </w:p>
        </w:tc>
        <w:tc>
          <w:tcPr>
            <w:tcW w:w="188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076C153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Registo e atualização dos dados administrativos dos animais (espécie, raça, idade, peso) e associação inequívoca ao respetivo dono (Cliente). Controlo de permissões que permite ao Rececionista e ao Veterinário alterar os dados administrativos, reservando a criação e a alteração dos registos clínicos ao Veterinário, através da funcionalidade F004.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6E345E0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Interface para o Rececionista e o Veterinário criarem, consultarem e atualizarem os dados administrativos das fichas dos animais e pesquisarem por dono. O Auxiliar Veterinário apenas consulta as fichas. O Rececionista não pode consultar, criar ou alterar registos clínicos, diagnósticos, tratamentos ou prescrições, cuja gestão é reservada ao Veterinário através da funcionalidade F004.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FC691B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Consulta, pelo Cliente autenticado, dos dados dos seus próprios animais, sem operações de criação, alteração ou eliminação.</w:t>
            </w:r>
          </w:p>
        </w:tc>
        <w:tc>
          <w:tcPr>
            <w:tcW w:w="3592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9591CA2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Os Clientes não podem criar ou editar as fichas dos animais na aplicação mobile; o registo e a atualização dos dados são feitos pelos funcionários autorizados da clínica. Ficam excluídas a integração com o SIAC ou outras bases de dados nacionais e a leitura automática de microchips.</w:t>
            </w:r>
          </w:p>
        </w:tc>
      </w:tr>
      <w:tr w:rsidR="00273490" w:rsidRPr="00AB1586" w14:paraId="44D3F64D" w14:textId="77777777" w:rsidTr="007C28E3">
        <w:trPr>
          <w:cantSplit/>
          <w:jc w:val="center"/>
        </w:trPr>
        <w:tc>
          <w:tcPr>
            <w:tcW w:w="55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B77BCF8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lastRenderedPageBreak/>
              <w:t>F003</w:t>
            </w:r>
          </w:p>
        </w:tc>
        <w:tc>
          <w:tcPr>
            <w:tcW w:w="149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B995182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Agendamento de consultas</w:t>
            </w:r>
          </w:p>
        </w:tc>
        <w:tc>
          <w:tcPr>
            <w:tcW w:w="188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D8B2C8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Gestão da agenda da clínica, dos horários de funcionamento e dos horários regulares de atendimento dos Veterinários, determinação de disponibilidades e registo do estado das consultas (pendente, confirmada, realizada, cancelada), com as transições permitidas. O Rececionista cria, consulta, altera, confirma e cancela marcações, regista a chegada dos pacientes e dá as consultas como realizadas. O Veterinário consulta a agenda, sem possibilidade de criar, alterar ou cancelar marcações. O Auxiliar Veterinário consulta a informação de preparação das consultas e, quando autorizado, regista informação não clínica de apoio, sem alterar registos clínicos nem marcações.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B4F723C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Calendário para o Rececionista marcar, alterar, confirmar e cancelar consultas, atribuindo-as a um Veterinário, registar a chegada dos pacientes e dar as consultas como realizadas. O Administrador gere os horários base necessários ao cálculo das disponibilidades. O Veterinário consulta a agenda e as consultas que lhe estão atribuídas, sem possibilidade de criar, alterar ou cancelar marcações. O Auxiliar Veterinário consulta a informação de preparação das consultas e, quando autorizado, regista informação não clínica de apoio.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1DE1787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Consulta, pelo Cliente autenticado, das marcações futuras e do histórico administrativo das consultas dos seus animais (data, animal e Veterinário), sem registos clínicos e sem possibilidade de agendar, alterar ou cancelar marcações.</w:t>
            </w:r>
          </w:p>
        </w:tc>
        <w:tc>
          <w:tcPr>
            <w:tcW w:w="3592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0396491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O Cliente não pode solicitar, alterar ou cancelar marcações pela aplicação mobile. Ficam excluídos a sincronização com calendários externos (Google Calendar, Outlook), o envio automático de lembretes por SMS ou e-mail e a gestão de férias, baixas, salários ou escalas complexas de recursos humanos.</w:t>
            </w:r>
          </w:p>
        </w:tc>
      </w:tr>
      <w:tr w:rsidR="00273490" w:rsidRPr="00AB1586" w14:paraId="2B9DAFFA" w14:textId="77777777" w:rsidTr="007C28E3">
        <w:trPr>
          <w:cantSplit/>
          <w:jc w:val="center"/>
        </w:trPr>
        <w:tc>
          <w:tcPr>
            <w:tcW w:w="55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29CC9D5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F004</w:t>
            </w:r>
          </w:p>
        </w:tc>
        <w:tc>
          <w:tcPr>
            <w:tcW w:w="149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3F7AC66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Registo clínico e tratamentos</w:t>
            </w:r>
          </w:p>
        </w:tc>
        <w:tc>
          <w:tcPr>
            <w:tcW w:w="188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F9D8B7C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Registo de notas clínicas, diagnósticos, tratamentos aplicados e prescrição de medicamentos, sempre associados a uma consulta e a um paciente. A criação e a alteração dos registos clínicos são permitidas exclusivamente ao Veterinário. O Auxiliar Veterinário pode consultar a informação clínica necessária à preparação e ao acompanhamento das consultas, sem permissão para a criar ou alterar. O Administrador e o Rececionista não consultam, criam nem alteram registos clínicos.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9FD0A5D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Interface para o Veterinário registar as notas da consulta, adicionar diagnósticos, tratamentos e prescrições na ficha do animal e consultar o histórico clínico para acompanhar a sua evolução. O Auxiliar Veterinário consulta a informação clínica necessária às suas funções, sem registar nem alterar notas, diagnósticos, tratamentos ou prescrições.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B833E11" w14:textId="77777777" w:rsidR="00E860E5" w:rsidRPr="00AB1586" w:rsidRDefault="00E860E5">
            <w:pPr>
              <w:spacing w:after="0"/>
              <w:rPr>
                <w:rFonts w:ascii="Porto Sans" w:hAnsi="Porto Sans"/>
              </w:rPr>
            </w:pPr>
          </w:p>
        </w:tc>
        <w:tc>
          <w:tcPr>
            <w:tcW w:w="3592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4F0F96E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O registo clínico não é disponibilizado na aplicação mobile, destinada apenas aos Clientes. Ficam excluídas a emissão de receitas certificadas ou em PDF, a telemedicina e a integração com sistemas clínicos externos.</w:t>
            </w:r>
          </w:p>
        </w:tc>
      </w:tr>
      <w:tr w:rsidR="00273490" w:rsidRPr="00AB1586" w14:paraId="630B40C0" w14:textId="77777777" w:rsidTr="007C28E3">
        <w:trPr>
          <w:cantSplit/>
          <w:jc w:val="center"/>
        </w:trPr>
        <w:tc>
          <w:tcPr>
            <w:tcW w:w="55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B74DA71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F006</w:t>
            </w:r>
          </w:p>
        </w:tc>
        <w:tc>
          <w:tcPr>
            <w:tcW w:w="1493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CED0BFA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Boletim de Vacinas e Desparasitações</w:t>
            </w:r>
          </w:p>
        </w:tc>
        <w:tc>
          <w:tcPr>
            <w:tcW w:w="188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CF13104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Registo e atualização do histórico de vacinas e desparasitações por paciente, incluindo o tipo, a data de administração, o lote, o produto utilizado e o intervalo previsto até à próxima toma. Cálculo automático da data prevista para a próxima administração, com base na data registada e no intervalo definido pelo Veterinário.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BF22CF5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Interface para o Veterinário registar novas vacinações e desparasitações, atualizar os registos existentes e consultar o boletim completo do animal durante a consulta.</w:t>
            </w:r>
          </w:p>
        </w:tc>
        <w:tc>
          <w:tcPr>
            <w:tcW w:w="1769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4B3B049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Consulta, pelo Cliente autenticado, do boletim de vacinação e desparasitação dos seus próprios animais e das datas das próximas administrações previstas.</w:t>
            </w:r>
          </w:p>
        </w:tc>
        <w:tc>
          <w:tcPr>
            <w:tcW w:w="3592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C7EAEF8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4"/>
              </w:rPr>
              <w:t>Ficam excluídas a leitura automática de códigos de barras ou QR codes dos frascos, a gestão de stock de medicamentos ou vacinas e a integração com bases de dados nacionais de saúde animal.</w:t>
            </w:r>
          </w:p>
        </w:tc>
      </w:tr>
    </w:tbl>
    <w:p w14:paraId="41BFEBBA" w14:textId="77777777" w:rsidR="00273490" w:rsidRPr="00AB1586" w:rsidRDefault="00000000">
      <w:pPr>
        <w:keepNext/>
        <w:pageBreakBefore/>
        <w:spacing w:before="160" w:after="0" w:line="240" w:lineRule="auto"/>
        <w:rPr>
          <w:rFonts w:ascii="Porto Sans" w:hAnsi="Porto Sans"/>
        </w:rPr>
      </w:pPr>
      <w:r w:rsidRPr="00AB1586">
        <w:rPr>
          <w:rFonts w:ascii="Porto Sans" w:hAnsi="Porto Sans"/>
          <w:b/>
          <w:color w:val="17365D"/>
          <w:sz w:val="23"/>
        </w:rPr>
        <w:lastRenderedPageBreak/>
        <w:t>3. Limites transversais do sistema</w:t>
      </w:r>
    </w:p>
    <w:tbl>
      <w:tblPr>
        <w:tblW w:w="11056" w:type="dxa"/>
        <w:jc w:val="center"/>
        <w:tblLayout w:type="fixed"/>
        <w:tblLook w:val="04A0" w:firstRow="1" w:lastRow="0" w:firstColumn="1" w:lastColumn="0" w:noHBand="0" w:noVBand="1"/>
      </w:tblPr>
      <w:tblGrid>
        <w:gridCol w:w="11056"/>
      </w:tblGrid>
      <w:tr w:rsidR="00273490" w:rsidRPr="00AB1586" w14:paraId="2AC597B9" w14:textId="77777777">
        <w:trPr>
          <w:jc w:val="center"/>
        </w:trPr>
        <w:tc>
          <w:tcPr>
            <w:tcW w:w="110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C32093" w14:textId="77777777" w:rsidR="00E860E5" w:rsidRPr="00AB1586" w:rsidRDefault="00000000">
            <w:pPr>
              <w:spacing w:after="0"/>
              <w:rPr>
                <w:rFonts w:ascii="Porto Sans" w:hAnsi="Porto Sans"/>
              </w:rPr>
            </w:pPr>
            <w:r w:rsidRPr="00AB1586">
              <w:rPr>
                <w:rFonts w:ascii="Porto Sans" w:hAnsi="Porto Sans"/>
                <w:sz w:val="17"/>
              </w:rPr>
              <w:t>O Sistema de Gestão de Clínica Veterinária será desenvolvido e demonstrado num ambiente académico controlado, utilizando exclusivamente dados fictícios para fins de avaliação. Ficam fora do âmbito a colocação efetiva do sistema em produção numa clínica veterinária real e a migração de dados provenientes de aplicações anteriores. Não fazem parte do sistema a gestão financeira, incluindo custos, contas, pagamentos ou faturação, nem a gestão de internamentos ou hospitalização. Estão ainda excluídas integrações com plataformas externas, nomeadamente bases oficiais de registo animal, fornecedores externos de identidade, calendários externos e serviços comerciais de comunicação. Não será garantido o funcionamento offline nem o suporte a equipamentos especializados, como leitores de microchips, balanças ou equipamentos de diagnóstico. A gestão de stock, compras e fornecedores, recursos humanos, telemedicina e outras áreas não identificadas na matriz funcional não fazem parte desta versão do projeto. As funcionalidades F005 (Gestão de contas e pagamentos) e F007 (Gestão de internamento) não fazem parte desta versão do projeto; os respetivos códigos não são reutilizados, para preservar a rastreabilidade.</w:t>
            </w:r>
          </w:p>
        </w:tc>
      </w:tr>
    </w:tbl>
    <w:p w14:paraId="795A5278" w14:textId="77777777" w:rsidR="00861A34" w:rsidRPr="00AB1586" w:rsidRDefault="00861A34">
      <w:pPr>
        <w:spacing w:after="0"/>
        <w:rPr>
          <w:rFonts w:ascii="Porto Sans" w:hAnsi="Porto Sans"/>
        </w:rPr>
      </w:pPr>
    </w:p>
    <w:sectPr w:rsidR="00861A34" w:rsidRPr="00AB1586" w:rsidSect="00034616">
      <w:footerReference w:type="default" r:id="rId11"/>
      <w:pgSz w:w="11906" w:h="16838"/>
      <w:pgMar w:top="567" w:right="425" w:bottom="567" w:left="425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E73F" w14:textId="77777777" w:rsidR="00EC692F" w:rsidRPr="0051409B" w:rsidRDefault="00EC692F">
      <w:pPr>
        <w:spacing w:after="0" w:line="240" w:lineRule="auto"/>
      </w:pPr>
      <w:r w:rsidRPr="0051409B">
        <w:separator/>
      </w:r>
    </w:p>
  </w:endnote>
  <w:endnote w:type="continuationSeparator" w:id="0">
    <w:p w14:paraId="783058C7" w14:textId="77777777" w:rsidR="00EC692F" w:rsidRPr="0051409B" w:rsidRDefault="00EC692F">
      <w:pPr>
        <w:spacing w:after="0" w:line="240" w:lineRule="auto"/>
      </w:pPr>
      <w:r w:rsidRPr="005140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AB18" w14:textId="77777777" w:rsidR="001A5F2A" w:rsidRPr="0051409B" w:rsidRDefault="00000000">
    <w:pPr>
      <w:pStyle w:val="Footer"/>
      <w:jc w:val="right"/>
    </w:pPr>
    <w:r w:rsidRPr="0051409B">
      <w:rPr>
        <w:rFonts w:eastAsia="Arial"/>
        <w:color w:val="666666"/>
        <w:sz w:val="18"/>
      </w:rPr>
      <w:t xml:space="preserve">Página </w:t>
    </w:r>
    <w:r w:rsidRPr="0051409B">
      <w:rPr>
        <w:rFonts w:eastAsia="Arial"/>
        <w:color w:val="666666"/>
        <w:sz w:val="18"/>
      </w:rPr>
      <w:fldChar w:fldCharType="begin"/>
    </w:r>
    <w:r w:rsidRPr="0051409B">
      <w:rPr>
        <w:rFonts w:eastAsia="Arial"/>
        <w:color w:val="666666"/>
        <w:sz w:val="18"/>
      </w:rPr>
      <w:instrText>PAGE</w:instrText>
    </w:r>
    <w:r w:rsidRPr="0051409B">
      <w:rPr>
        <w:rFonts w:eastAsia="Arial"/>
        <w:color w:val="666666"/>
        <w:sz w:val="18"/>
      </w:rPr>
      <w:fldChar w:fldCharType="separate"/>
    </w:r>
    <w:r w:rsidRPr="0051409B">
      <w:rPr>
        <w:rFonts w:eastAsia="Arial"/>
        <w:color w:val="666666"/>
        <w:sz w:val="18"/>
      </w:rPr>
      <w:t>1</w:t>
    </w:r>
    <w:r w:rsidRPr="0051409B">
      <w:rPr>
        <w:rFonts w:eastAsia="Arial"/>
        <w:color w:val="666666"/>
        <w:sz w:val="18"/>
      </w:rPr>
      <w:fldChar w:fldCharType="end"/>
    </w:r>
    <w:r w:rsidRPr="0051409B">
      <w:rPr>
        <w:rFonts w:eastAsia="Arial"/>
        <w:color w:val="666666"/>
        <w:sz w:val="18"/>
      </w:rPr>
      <w:t xml:space="preserve"> de </w:t>
    </w:r>
    <w:r w:rsidRPr="0051409B">
      <w:rPr>
        <w:rFonts w:eastAsia="Arial"/>
        <w:color w:val="666666"/>
        <w:sz w:val="18"/>
      </w:rPr>
      <w:fldChar w:fldCharType="begin"/>
    </w:r>
    <w:r w:rsidRPr="0051409B">
      <w:rPr>
        <w:rFonts w:eastAsia="Arial"/>
        <w:color w:val="666666"/>
        <w:sz w:val="18"/>
      </w:rPr>
      <w:instrText>NUMPAGES</w:instrText>
    </w:r>
    <w:r w:rsidRPr="0051409B">
      <w:rPr>
        <w:rFonts w:eastAsia="Arial"/>
        <w:color w:val="666666"/>
        <w:sz w:val="18"/>
      </w:rPr>
      <w:fldChar w:fldCharType="separate"/>
    </w:r>
    <w:r w:rsidRPr="0051409B">
      <w:rPr>
        <w:rFonts w:eastAsia="Arial"/>
        <w:color w:val="666666"/>
        <w:sz w:val="18"/>
      </w:rPr>
      <w:t>1</w:t>
    </w:r>
    <w:r w:rsidRPr="0051409B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4361" w14:textId="77777777" w:rsidR="00EC692F" w:rsidRPr="0051409B" w:rsidRDefault="00EC692F">
      <w:pPr>
        <w:spacing w:after="0" w:line="240" w:lineRule="auto"/>
      </w:pPr>
      <w:r w:rsidRPr="0051409B">
        <w:separator/>
      </w:r>
    </w:p>
  </w:footnote>
  <w:footnote w:type="continuationSeparator" w:id="0">
    <w:p w14:paraId="0C6B45DC" w14:textId="77777777" w:rsidR="00EC692F" w:rsidRPr="0051409B" w:rsidRDefault="00EC692F">
      <w:pPr>
        <w:spacing w:after="0" w:line="240" w:lineRule="auto"/>
      </w:pPr>
      <w:r w:rsidRPr="0051409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CC"/>
    <w:rsid w:val="00034616"/>
    <w:rsid w:val="00047A6E"/>
    <w:rsid w:val="0006063C"/>
    <w:rsid w:val="0015074B"/>
    <w:rsid w:val="001A5F2A"/>
    <w:rsid w:val="001B4ABF"/>
    <w:rsid w:val="00273490"/>
    <w:rsid w:val="0029639D"/>
    <w:rsid w:val="002E5510"/>
    <w:rsid w:val="00326F90"/>
    <w:rsid w:val="003B17B5"/>
    <w:rsid w:val="00411C31"/>
    <w:rsid w:val="00436409"/>
    <w:rsid w:val="00453A24"/>
    <w:rsid w:val="0051409B"/>
    <w:rsid w:val="005D0A81"/>
    <w:rsid w:val="005D62AF"/>
    <w:rsid w:val="005F1A34"/>
    <w:rsid w:val="006F5D7F"/>
    <w:rsid w:val="007976C9"/>
    <w:rsid w:val="007C28E3"/>
    <w:rsid w:val="00813B47"/>
    <w:rsid w:val="00861A34"/>
    <w:rsid w:val="00914F21"/>
    <w:rsid w:val="0096170D"/>
    <w:rsid w:val="0096476F"/>
    <w:rsid w:val="0096690B"/>
    <w:rsid w:val="009729CC"/>
    <w:rsid w:val="00A221FD"/>
    <w:rsid w:val="00A75DF6"/>
    <w:rsid w:val="00AA1D8D"/>
    <w:rsid w:val="00AB1586"/>
    <w:rsid w:val="00AB1EB2"/>
    <w:rsid w:val="00AB7C67"/>
    <w:rsid w:val="00B27DE1"/>
    <w:rsid w:val="00B47730"/>
    <w:rsid w:val="00B96EB3"/>
    <w:rsid w:val="00BC3613"/>
    <w:rsid w:val="00C0274F"/>
    <w:rsid w:val="00CB0664"/>
    <w:rsid w:val="00CD2821"/>
    <w:rsid w:val="00D84D81"/>
    <w:rsid w:val="00E05882"/>
    <w:rsid w:val="00E860E5"/>
    <w:rsid w:val="00EC692F"/>
    <w:rsid w:val="00EF7F82"/>
    <w:rsid w:val="00FA3F37"/>
    <w:rsid w:val="00FB7C37"/>
    <w:rsid w:val="00FC693F"/>
    <w:rsid w:val="00FD1C44"/>
    <w:rsid w:val="00FF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ABD3E"/>
  <w14:defaultImageDpi w14:val="300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rFonts w:ascii="Calibri" w:eastAsia="Calibri" w:hAnsi="Calibri" w:cs="Calibri"/>
      <w:color w:val="000000"/>
      <w:sz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2C49A0-F07E-402C-B306-AA37303A1A39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2.xml><?xml version="1.0" encoding="utf-8"?>
<ds:datastoreItem xmlns:ds="http://schemas.openxmlformats.org/officeDocument/2006/customXml" ds:itemID="{A6BA1BFE-2BE4-4AD1-B60E-6B652A8E60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6A6796-F816-4F24-9421-343E09C2F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1259</Words>
  <Characters>6803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de Âmbito — template obrigatório</vt:lpstr>
      <vt:lpstr/>
    </vt:vector>
  </TitlesOfParts>
  <Manager/>
  <Company/>
  <LinksUpToDate>false</LinksUpToDate>
  <CharactersWithSpaces>8046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Âmbito — Gestão de Clínica Veterinária</dc:title>
  <dc:subject>Laboratório de Desenvolvimento de Software — Grupo G08</dc:subject>
  <dc:creator>Grupo G08</dc:creator>
  <cp:keywords>LDS, declaração de âmbito, G08, gestão de clínica veterinária</cp:keywords>
  <dc:description>Declaração de Âmbito do Grupo G08, versão v04.</dc:description>
  <cp:lastModifiedBy>Ivan Cristiano Silva Mendes</cp:lastModifiedBy>
  <cp:revision>25</cp:revision>
  <cp:lastPrinted>2026-10-20T18:28:00Z</cp:lastPrinted>
  <dcterms:created xsi:type="dcterms:W3CDTF">2013-12-23T23:15:00Z</dcterms:created>
  <dcterms:modified xsi:type="dcterms:W3CDTF">2026-10-20T18:28:00Z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