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DTitle"/>
        <w:jc w:val="center"/>
      </w:pPr>
      <w:r>
        <w:t>Definition of Done (DoD)</w:t>
      </w:r>
    </w:p>
    <w:p>
      <w:pPr>
        <w:spacing w:after="100"/>
        <w:jc w:val="center"/>
      </w:pPr>
      <w:r>
        <w:rPr>
          <w:b/>
          <w:sz w:val="20"/>
        </w:rPr>
        <w:t>Laboratório de Desenvolvimento de Software  |  Ano letivo 2026/2027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247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DEDED"/>
          </w:tcPr>
          <w:p>
            <w:pPr>
              <w:spacing w:after="0"/>
            </w:pPr>
            <w:r>
              <w:rPr>
                <w:b/>
                <w:sz w:val="16"/>
              </w:rPr>
              <w:t>Grupo</w:t>
            </w:r>
          </w:p>
        </w:tc>
        <w:tc>
          <w:tcPr>
            <w:tcW w:type="dxa" w:w="272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G08</w:t>
            </w:r>
          </w:p>
        </w:tc>
        <w:tc>
          <w:tcPr>
            <w:tcW w:type="dxa" w:w="136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DEDED"/>
          </w:tcPr>
          <w:p>
            <w:pPr>
              <w:spacing w:after="0"/>
            </w:pPr>
            <w:r>
              <w:rPr>
                <w:b/>
                <w:sz w:val="16"/>
              </w:rPr>
              <w:t>Projeto</w:t>
            </w:r>
          </w:p>
        </w:tc>
        <w:tc>
          <w:tcPr>
            <w:tcW w:type="dxa" w:w="3402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Gestão de Clínica Veterinária</w:t>
            </w:r>
          </w:p>
        </w:tc>
      </w:tr>
      <w:tr>
        <w:tc>
          <w:tcPr>
            <w:tcW w:type="dxa" w:w="1247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DEDED"/>
          </w:tcPr>
          <w:p>
            <w:pPr>
              <w:spacing w:after="0"/>
            </w:pPr>
            <w:r>
              <w:rPr>
                <w:b/>
                <w:sz w:val="16"/>
              </w:rPr>
              <w:t>Versão</w:t>
            </w:r>
          </w:p>
        </w:tc>
        <w:tc>
          <w:tcPr>
            <w:tcW w:type="dxa" w:w="272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v01</w:t>
            </w:r>
          </w:p>
        </w:tc>
        <w:tc>
          <w:tcPr>
            <w:tcW w:type="dxa" w:w="136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  <w:shd w:fill="EDEDED"/>
          </w:tcPr>
          <w:p>
            <w:pPr>
              <w:spacing w:after="0"/>
            </w:pPr>
            <w:r>
              <w:rPr>
                <w:b/>
                <w:sz w:val="16"/>
              </w:rPr>
              <w:t>Data</w:t>
            </w:r>
          </w:p>
        </w:tc>
        <w:tc>
          <w:tcPr>
            <w:tcW w:type="dxa" w:w="3402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25/09/2026</w:t>
            </w:r>
          </w:p>
        </w:tc>
      </w:tr>
    </w:tbl>
    <w:p>
      <w:pPr>
        <w:pStyle w:val="DoDHeading1"/>
        <w:keepNext/>
        <w:spacing w:before="80" w:after="40"/>
      </w:pPr>
      <w:r>
        <w:t>1. Objetivo e âmbito</w:t>
      </w:r>
    </w:p>
    <w:p>
      <w:pPr>
        <w:spacing w:after="60"/>
      </w:pPr>
      <w:r>
        <w:t>A presente Definition of Done (DoD) define as condições que uma tarefa deve cumprir para poder ser considerada concluída, aprovada e encerrada. A DoD aplica-se às tarefas do projeto sujeitas ao fluxo normal de execução, revisão e auditoria.</w:t>
      </w:r>
    </w:p>
    <w:p>
      <w:pPr>
        <w:spacing w:after="60"/>
      </w:pPr>
      <w:r>
        <w:t>Uma tarefa não é considerada Done apenas porque o Executor terminou o trabalho. O encerramento exige a conclusão das verificações, evidências, revisão, auditoria, aceitação e aprovação formal previstas.</w:t>
      </w:r>
    </w:p>
    <w:p>
      <w:pPr>
        <w:pStyle w:val="DoDHeading1"/>
        <w:keepNext/>
        <w:spacing w:before="80" w:after="40"/>
      </w:pPr>
      <w:r>
        <w:t>2. Documentos de referência</w:t>
      </w:r>
    </w:p>
    <w:p>
      <w:pPr>
        <w:pStyle w:val="ListBullet"/>
        <w:spacing w:after="30"/>
      </w:pPr>
      <w:r>
        <w:t>Regulamento de Funcionamento da Unidade Curricular de Laboratório de Desenvolvimento de Software, versão 19, em especial as secções 9, 14, 15, 16 e 17.</w:t>
      </w:r>
    </w:p>
    <w:p>
      <w:pPr>
        <w:pStyle w:val="ListBullet"/>
        <w:spacing w:after="30"/>
      </w:pPr>
      <w:r>
        <w:t>Regulamento Interno do Grupo G08, versão v01, em especial as secções 9, 10, 11, 12 e 15.</w:t>
      </w:r>
    </w:p>
    <w:p>
      <w:pPr>
        <w:pStyle w:val="DoDHeading1"/>
        <w:keepNext/>
        <w:spacing w:before="80" w:after="40"/>
      </w:pPr>
      <w:r>
        <w:t>3. Definition of Done</w:t>
      </w:r>
    </w:p>
    <w:p>
      <w:pPr>
        <w:pStyle w:val="DoDHeading2"/>
        <w:keepNext/>
        <w:spacing w:before="60" w:after="40"/>
      </w:pPr>
      <w:r>
        <w:t>3.1. Critérios obrigatórios da UC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3457"/>
            <w:shd w:fill="D9E2F3"/>
            <w:tcMar>
              <w:top w:w="38" w:type="dxa"/>
              <w:start w:w="55" w:type="dxa"/>
              <w:bottom w:w="38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N.º</w:t>
            </w:r>
          </w:p>
        </w:tc>
        <w:tc>
          <w:tcPr>
            <w:tcW w:type="dxa" w:w="3457"/>
            <w:shd w:fill="D9E2F3"/>
            <w:tcMar>
              <w:top w:w="38" w:type="dxa"/>
              <w:start w:w="55" w:type="dxa"/>
              <w:bottom w:w="38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Critério</w:t>
            </w:r>
          </w:p>
        </w:tc>
        <w:tc>
          <w:tcPr>
            <w:tcW w:type="dxa" w:w="3457"/>
            <w:shd w:fill="D9E2F3"/>
            <w:tcMar>
              <w:top w:w="38" w:type="dxa"/>
              <w:start w:w="55" w:type="dxa"/>
              <w:bottom w:w="38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Condição</w:t>
            </w:r>
          </w:p>
        </w:tc>
      </w:tr>
      <w:tr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  <w:vAlign w:val="center"/>
          </w:tcPr>
          <w:p>
            <w:pPr>
              <w:spacing w:after="0" w:line="216" w:lineRule="auto"/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  <w:vAlign w:val="center"/>
          </w:tcPr>
          <w:p>
            <w:pPr>
              <w:spacing w:after="0" w:line="216" w:lineRule="auto"/>
            </w:pPr>
            <w:r>
              <w:rPr>
                <w:b/>
                <w:sz w:val="14"/>
              </w:rPr>
              <w:t>Resultado acessível</w:t>
            </w:r>
          </w:p>
        </w:tc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  <w:vAlign w:val="center"/>
          </w:tcPr>
          <w:p>
            <w:pPr>
              <w:spacing w:after="0" w:line="216" w:lineRule="auto"/>
            </w:pPr>
            <w:r>
              <w:rPr>
                <w:sz w:val="14"/>
              </w:rPr>
              <w:t>O resultado final da tarefa está disponível e pode ser consultado, executado ou verificado, conforme a sua natureza.</w:t>
            </w:r>
          </w:p>
        </w:tc>
      </w:tr>
      <w:tr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  <w:vAlign w:val="center"/>
          </w:tcPr>
          <w:p>
            <w:pPr>
              <w:spacing w:after="0" w:line="216" w:lineRule="auto"/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  <w:vAlign w:val="center"/>
          </w:tcPr>
          <w:p>
            <w:pPr>
              <w:spacing w:after="0" w:line="216" w:lineRule="auto"/>
            </w:pPr>
            <w:r>
              <w:rPr>
                <w:b/>
                <w:sz w:val="14"/>
              </w:rPr>
              <w:t>Critérios cumpridos</w:t>
            </w:r>
          </w:p>
        </w:tc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  <w:vAlign w:val="center"/>
          </w:tcPr>
          <w:p>
            <w:pPr>
              <w:spacing w:after="0" w:line="216" w:lineRule="auto"/>
            </w:pPr>
            <w:r>
              <w:rPr>
                <w:sz w:val="14"/>
              </w:rPr>
              <w:t>Todos os critérios de aceitação aprovados para a tarefa estão cumpridos.</w:t>
            </w:r>
          </w:p>
        </w:tc>
      </w:tr>
      <w:tr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  <w:vAlign w:val="center"/>
          </w:tcPr>
          <w:p>
            <w:pPr>
              <w:spacing w:after="0" w:line="216" w:lineRule="auto"/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  <w:vAlign w:val="center"/>
          </w:tcPr>
          <w:p>
            <w:pPr>
              <w:spacing w:after="0" w:line="216" w:lineRule="auto"/>
            </w:pPr>
            <w:r>
              <w:rPr>
                <w:b/>
                <w:sz w:val="14"/>
              </w:rPr>
              <w:t>Sem defeitos válidos por resolver</w:t>
            </w:r>
          </w:p>
        </w:tc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  <w:vAlign w:val="center"/>
          </w:tcPr>
          <w:p>
            <w:pPr>
              <w:spacing w:after="0" w:line="216" w:lineRule="auto"/>
            </w:pPr>
            <w:r>
              <w:rPr>
                <w:sz w:val="14"/>
              </w:rPr>
              <w:t>Não existem defeitos obrigatórios identificados e ainda por corrigir.</w:t>
            </w:r>
          </w:p>
        </w:tc>
      </w:tr>
      <w:tr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  <w:vAlign w:val="center"/>
          </w:tcPr>
          <w:p>
            <w:pPr>
              <w:spacing w:after="0" w:line="216" w:lineRule="auto"/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  <w:vAlign w:val="center"/>
          </w:tcPr>
          <w:p>
            <w:pPr>
              <w:spacing w:after="0" w:line="216" w:lineRule="auto"/>
            </w:pPr>
            <w:r>
              <w:rPr>
                <w:b/>
                <w:sz w:val="14"/>
              </w:rPr>
              <w:t>Evidências do Executor</w:t>
            </w:r>
          </w:p>
        </w:tc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  <w:vAlign w:val="center"/>
          </w:tcPr>
          <w:p>
            <w:pPr>
              <w:spacing w:after="0" w:line="216" w:lineRule="auto"/>
            </w:pPr>
            <w:r>
              <w:rPr>
                <w:sz w:val="14"/>
              </w:rPr>
              <w:t>As evidências previstas para demonstrar a execução da tarefa estão produzidas e arquivadas.</w:t>
            </w:r>
          </w:p>
        </w:tc>
      </w:tr>
      <w:tr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  <w:vAlign w:val="center"/>
          </w:tcPr>
          <w:p>
            <w:pPr>
              <w:spacing w:after="0" w:line="216" w:lineRule="auto"/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  <w:vAlign w:val="center"/>
          </w:tcPr>
          <w:p>
            <w:pPr>
              <w:spacing w:after="0" w:line="216" w:lineRule="auto"/>
            </w:pPr>
            <w:r>
              <w:rPr>
                <w:b/>
                <w:sz w:val="14"/>
              </w:rPr>
              <w:t>Revisão arquivada</w:t>
            </w:r>
          </w:p>
        </w:tc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  <w:vAlign w:val="center"/>
          </w:tcPr>
          <w:p>
            <w:pPr>
              <w:spacing w:after="0" w:line="216" w:lineRule="auto"/>
            </w:pPr>
            <w:r>
              <w:rPr>
                <w:sz w:val="14"/>
              </w:rPr>
              <w:t>A revisão foi concluída e as respetivas evidências estão arquivadas.</w:t>
            </w:r>
          </w:p>
        </w:tc>
      </w:tr>
      <w:tr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  <w:vAlign w:val="center"/>
          </w:tcPr>
          <w:p>
            <w:pPr>
              <w:spacing w:after="0" w:line="216" w:lineRule="auto"/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  <w:vAlign w:val="center"/>
          </w:tcPr>
          <w:p>
            <w:pPr>
              <w:spacing w:after="0" w:line="216" w:lineRule="auto"/>
            </w:pPr>
            <w:r>
              <w:rPr>
                <w:b/>
                <w:sz w:val="14"/>
              </w:rPr>
              <w:t>Auditoria arquivada</w:t>
            </w:r>
          </w:p>
        </w:tc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  <w:vAlign w:val="center"/>
          </w:tcPr>
          <w:p>
            <w:pPr>
              <w:spacing w:after="0" w:line="216" w:lineRule="auto"/>
            </w:pPr>
            <w:r>
              <w:rPr>
                <w:sz w:val="14"/>
              </w:rPr>
              <w:t>A auditoria foi concluída e as respetivas evidências estão arquivadas.</w:t>
            </w:r>
          </w:p>
        </w:tc>
      </w:tr>
      <w:tr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  <w:vAlign w:val="center"/>
          </w:tcPr>
          <w:p>
            <w:pPr>
              <w:spacing w:after="0" w:line="216" w:lineRule="auto"/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  <w:vAlign w:val="center"/>
          </w:tcPr>
          <w:p>
            <w:pPr>
              <w:spacing w:after="0" w:line="216" w:lineRule="auto"/>
            </w:pPr>
            <w:r>
              <w:rPr>
                <w:b/>
                <w:sz w:val="14"/>
              </w:rPr>
              <w:t>Autorização do Auditor</w:t>
            </w:r>
          </w:p>
        </w:tc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  <w:vAlign w:val="center"/>
          </w:tcPr>
          <w:p>
            <w:pPr>
              <w:spacing w:after="0" w:line="216" w:lineRule="auto"/>
            </w:pPr>
            <w:r>
              <w:rPr>
                <w:sz w:val="14"/>
              </w:rPr>
              <w:t>O Auditor autorizou formalmente a aceitação da versão revista ou, quando aplicável, o merge.</w:t>
            </w:r>
          </w:p>
        </w:tc>
      </w:tr>
      <w:tr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  <w:vAlign w:val="center"/>
          </w:tcPr>
          <w:p>
            <w:pPr>
              <w:spacing w:after="0" w:line="216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  <w:vAlign w:val="center"/>
          </w:tcPr>
          <w:p>
            <w:pPr>
              <w:spacing w:after="0" w:line="216" w:lineRule="auto"/>
            </w:pPr>
            <w:r>
              <w:rPr>
                <w:b/>
                <w:sz w:val="14"/>
              </w:rPr>
              <w:t>Aceitação pelo Revisor</w:t>
            </w:r>
          </w:p>
        </w:tc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  <w:vAlign w:val="center"/>
          </w:tcPr>
          <w:p>
            <w:pPr>
              <w:spacing w:after="0" w:line="216" w:lineRule="auto"/>
            </w:pPr>
            <w:r>
              <w:rPr>
                <w:sz w:val="14"/>
              </w:rPr>
              <w:t>O Revisor efetuou a aceitação formal do artefacto ou executou o merge, depois da autorização do Auditor.</w:t>
            </w:r>
          </w:p>
        </w:tc>
      </w:tr>
      <w:tr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  <w:vAlign w:val="center"/>
          </w:tcPr>
          <w:p>
            <w:pPr>
              <w:spacing w:after="0" w:line="216" w:lineRule="auto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  <w:vAlign w:val="center"/>
          </w:tcPr>
          <w:p>
            <w:pPr>
              <w:spacing w:after="0" w:line="216" w:lineRule="auto"/>
            </w:pPr>
            <w:r>
              <w:rPr>
                <w:b/>
                <w:sz w:val="14"/>
              </w:rPr>
              <w:t>Confirmação final do Auditor</w:t>
            </w:r>
          </w:p>
        </w:tc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  <w:vAlign w:val="center"/>
          </w:tcPr>
          <w:p>
            <w:pPr>
              <w:spacing w:after="0" w:line="216" w:lineRule="auto"/>
            </w:pPr>
            <w:r>
              <w:rPr>
                <w:sz w:val="14"/>
              </w:rPr>
              <w:t>O Auditor confirmou a versão final, incluindo a ausência de alterações posteriores não revistas.</w:t>
            </w:r>
          </w:p>
        </w:tc>
      </w:tr>
      <w:tr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  <w:vAlign w:val="center"/>
          </w:tcPr>
          <w:p>
            <w:pPr>
              <w:spacing w:after="0" w:line="216" w:lineRule="auto"/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  <w:vAlign w:val="center"/>
          </w:tcPr>
          <w:p>
            <w:pPr>
              <w:spacing w:after="0" w:line="216" w:lineRule="auto"/>
            </w:pPr>
            <w:r>
              <w:rPr>
                <w:b/>
                <w:sz w:val="14"/>
              </w:rPr>
              <w:t>Transferências registadas</w:t>
            </w:r>
          </w:p>
        </w:tc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  <w:vAlign w:val="center"/>
          </w:tcPr>
          <w:p>
            <w:pPr>
              <w:spacing w:after="0" w:line="216" w:lineRule="auto"/>
            </w:pPr>
            <w:r>
              <w:rPr>
                <w:sz w:val="14"/>
              </w:rPr>
              <w:t>Quando existiram transferências, estas encontram-se formalmente registadas e refletidas no histórico aplicável.</w:t>
            </w:r>
          </w:p>
        </w:tc>
      </w:tr>
      <w:tr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  <w:vAlign w:val="center"/>
          </w:tcPr>
          <w:p>
            <w:pPr>
              <w:spacing w:after="0" w:line="216" w:lineRule="auto"/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  <w:vAlign w:val="center"/>
          </w:tcPr>
          <w:p>
            <w:pPr>
              <w:spacing w:after="0" w:line="216" w:lineRule="auto"/>
            </w:pPr>
            <w:r>
              <w:rPr>
                <w:b/>
                <w:sz w:val="14"/>
              </w:rPr>
              <w:t>Pontuações registadas</w:t>
            </w:r>
          </w:p>
        </w:tc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  <w:vAlign w:val="center"/>
          </w:tcPr>
          <w:p>
            <w:pPr>
              <w:spacing w:after="0" w:line="216" w:lineRule="auto"/>
            </w:pPr>
            <w:r>
              <w:rPr>
                <w:sz w:val="14"/>
              </w:rPr>
              <w:t>As pontuações e classificações aplicáveis à tarefa encontram-se registadas.</w:t>
            </w:r>
          </w:p>
        </w:tc>
      </w:tr>
      <w:tr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  <w:vAlign w:val="center"/>
          </w:tcPr>
          <w:p>
            <w:pPr>
              <w:spacing w:after="0" w:line="216" w:lineRule="auto"/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  <w:vAlign w:val="center"/>
          </w:tcPr>
          <w:p>
            <w:pPr>
              <w:spacing w:after="0" w:line="216" w:lineRule="auto"/>
            </w:pPr>
            <w:r>
              <w:rPr>
                <w:b/>
                <w:sz w:val="14"/>
              </w:rPr>
              <w:t>Aprovação no Sprint Review</w:t>
            </w:r>
          </w:p>
        </w:tc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  <w:vAlign w:val="center"/>
          </w:tcPr>
          <w:p>
            <w:pPr>
              <w:spacing w:after="0" w:line="216" w:lineRule="auto"/>
            </w:pPr>
            <w:r>
              <w:rPr>
                <w:sz w:val="14"/>
              </w:rPr>
              <w:t>O Sprint Review aprovou formalmente o encerramento da tarefa.</w:t>
            </w:r>
          </w:p>
        </w:tc>
      </w:tr>
      <w:tr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  <w:vAlign w:val="center"/>
          </w:tcPr>
          <w:p>
            <w:pPr>
              <w:spacing w:after="0" w:line="216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  <w:vAlign w:val="center"/>
          </w:tcPr>
          <w:p>
            <w:pPr>
              <w:spacing w:after="0" w:line="216" w:lineRule="auto"/>
            </w:pPr>
            <w:r>
              <w:rPr>
                <w:b/>
                <w:sz w:val="14"/>
              </w:rPr>
              <w:t>Estado Done</w:t>
            </w:r>
          </w:p>
        </w:tc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  <w:vAlign w:val="center"/>
          </w:tcPr>
          <w:p>
            <w:pPr>
              <w:spacing w:after="0" w:line="216" w:lineRule="auto"/>
            </w:pPr>
            <w:r>
              <w:rPr>
                <w:sz w:val="14"/>
              </w:rPr>
              <w:t>Depois da aprovação no Sprint Review, o Secretário move a tarefa para o estado Done.</w:t>
            </w:r>
          </w:p>
        </w:tc>
      </w:tr>
    </w:tbl>
    <w:p>
      <w:pPr>
        <w:pStyle w:val="DoDHeading2"/>
        <w:keepNext/>
        <w:spacing w:before="60" w:after="40"/>
      </w:pPr>
      <w:r>
        <w:t>3.2. Critérios operacionais adicionais do G08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5185"/>
            <w:shd w:fill="E2F0D9"/>
            <w:tcMar>
              <w:top w:w="38" w:type="dxa"/>
              <w:start w:w="55" w:type="dxa"/>
              <w:bottom w:w="38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Critério operacional</w:t>
            </w:r>
          </w:p>
        </w:tc>
        <w:tc>
          <w:tcPr>
            <w:tcW w:type="dxa" w:w="5185"/>
            <w:shd w:fill="E2F0D9"/>
            <w:tcMar>
              <w:top w:w="38" w:type="dxa"/>
              <w:start w:w="55" w:type="dxa"/>
              <w:bottom w:w="38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Condição</w:t>
            </w:r>
          </w:p>
        </w:tc>
      </w:tr>
      <w:tr>
        <w:tc>
          <w:tcPr>
            <w:tcW w:type="dxa" w:w="5185"/>
            <w:tcMar>
              <w:top w:w="27" w:type="dxa"/>
              <w:start w:w="48" w:type="dxa"/>
              <w:bottom w:w="27" w:type="dxa"/>
              <w:end w:w="48" w:type="dxa"/>
            </w:tcMar>
          </w:tcPr>
          <w:p>
            <w:pPr>
              <w:spacing w:after="0" w:line="223" w:lineRule="auto"/>
            </w:pPr>
            <w:r>
              <w:rPr>
                <w:b/>
                <w:sz w:val="14"/>
              </w:rPr>
              <w:t>Código versionado</w:t>
            </w:r>
          </w:p>
        </w:tc>
        <w:tc>
          <w:tcPr>
            <w:tcW w:type="dxa" w:w="5185"/>
            <w:tcMar>
              <w:top w:w="27" w:type="dxa"/>
              <w:start w:w="48" w:type="dxa"/>
              <w:bottom w:w="27" w:type="dxa"/>
              <w:end w:w="48" w:type="dxa"/>
            </w:tcMar>
          </w:tcPr>
          <w:p>
            <w:pPr>
              <w:spacing w:after="0" w:line="223" w:lineRule="auto"/>
            </w:pPr>
            <w:r>
              <w:rPr>
                <w:sz w:val="14"/>
              </w:rPr>
              <w:t>Quando a tarefa envolve código, a alteração está associada à Issue e segue a estratégia Git definida pelo G08.</w:t>
            </w:r>
          </w:p>
        </w:tc>
      </w:tr>
      <w:tr>
        <w:tc>
          <w:tcPr>
            <w:tcW w:type="dxa" w:w="5185"/>
            <w:tcMar>
              <w:top w:w="27" w:type="dxa"/>
              <w:start w:w="48" w:type="dxa"/>
              <w:bottom w:w="27" w:type="dxa"/>
              <w:end w:w="48" w:type="dxa"/>
            </w:tcMar>
          </w:tcPr>
          <w:p>
            <w:pPr>
              <w:spacing w:after="0" w:line="223" w:lineRule="auto"/>
            </w:pPr>
            <w:r>
              <w:rPr>
                <w:b/>
                <w:sz w:val="14"/>
              </w:rPr>
              <w:t>Pull Request preparado</w:t>
            </w:r>
          </w:p>
        </w:tc>
        <w:tc>
          <w:tcPr>
            <w:tcW w:type="dxa" w:w="5185"/>
            <w:tcMar>
              <w:top w:w="27" w:type="dxa"/>
              <w:start w:w="48" w:type="dxa"/>
              <w:bottom w:w="27" w:type="dxa"/>
              <w:end w:w="48" w:type="dxa"/>
            </w:tcMar>
          </w:tcPr>
          <w:p>
            <w:pPr>
              <w:spacing w:after="0" w:line="223" w:lineRule="auto"/>
            </w:pPr>
            <w:r>
              <w:rPr>
                <w:sz w:val="14"/>
              </w:rPr>
              <w:t>O Pull Request identifica a Issue, descreve as alterações e contém a checklist de verificação adotada pelo grupo.</w:t>
            </w:r>
          </w:p>
        </w:tc>
      </w:tr>
      <w:tr>
        <w:tc>
          <w:tcPr>
            <w:tcW w:type="dxa" w:w="5185"/>
            <w:tcMar>
              <w:top w:w="27" w:type="dxa"/>
              <w:start w:w="48" w:type="dxa"/>
              <w:bottom w:w="27" w:type="dxa"/>
              <w:end w:w="48" w:type="dxa"/>
            </w:tcMar>
          </w:tcPr>
          <w:p>
            <w:pPr>
              <w:spacing w:after="0" w:line="223" w:lineRule="auto"/>
            </w:pPr>
            <w:r>
              <w:rPr>
                <w:b/>
                <w:sz w:val="14"/>
              </w:rPr>
              <w:t>Quality gates aprovados</w:t>
            </w:r>
          </w:p>
        </w:tc>
        <w:tc>
          <w:tcPr>
            <w:tcW w:type="dxa" w:w="5185"/>
            <w:tcMar>
              <w:top w:w="27" w:type="dxa"/>
              <w:start w:w="48" w:type="dxa"/>
              <w:bottom w:w="27" w:type="dxa"/>
              <w:end w:w="48" w:type="dxa"/>
            </w:tcMar>
          </w:tcPr>
          <w:p>
            <w:pPr>
              <w:spacing w:after="0" w:line="223" w:lineRule="auto"/>
            </w:pPr>
            <w:r>
              <w:rPr>
                <w:sz w:val="14"/>
              </w:rPr>
              <w:t>Todos os quality gates aplicáveis terminam com sucesso antes da integração: build, testes, cobertura, análise estática, linters e restantes verificações definidas pelo G08.</w:t>
            </w:r>
          </w:p>
        </w:tc>
      </w:tr>
      <w:tr>
        <w:tc>
          <w:tcPr>
            <w:tcW w:type="dxa" w:w="5185"/>
            <w:tcMar>
              <w:top w:w="27" w:type="dxa"/>
              <w:start w:w="48" w:type="dxa"/>
              <w:bottom w:w="27" w:type="dxa"/>
              <w:end w:w="48" w:type="dxa"/>
            </w:tcMar>
          </w:tcPr>
          <w:p>
            <w:pPr>
              <w:spacing w:after="0" w:line="223" w:lineRule="auto"/>
            </w:pPr>
            <w:r>
              <w:rPr>
                <w:b/>
                <w:sz w:val="14"/>
              </w:rPr>
              <w:t>Cobertura mínima aplicável</w:t>
            </w:r>
          </w:p>
        </w:tc>
        <w:tc>
          <w:tcPr>
            <w:tcW w:type="dxa" w:w="5185"/>
            <w:tcMar>
              <w:top w:w="27" w:type="dxa"/>
              <w:start w:w="48" w:type="dxa"/>
              <w:bottom w:w="27" w:type="dxa"/>
              <w:end w:w="48" w:type="dxa"/>
            </w:tcMar>
          </w:tcPr>
          <w:p>
            <w:pPr>
              <w:spacing w:after="0" w:line="223" w:lineRule="auto"/>
            </w:pPr>
            <w:r>
              <w:rPr>
                <w:sz w:val="14"/>
              </w:rPr>
              <w:t>Quando aplicável ao backend, a cobertura de linhas cumpre o limiar mínimo de 70% definido pelo grupo.</w:t>
            </w:r>
          </w:p>
        </w:tc>
      </w:tr>
      <w:tr>
        <w:tc>
          <w:tcPr>
            <w:tcW w:type="dxa" w:w="5185"/>
            <w:tcMar>
              <w:top w:w="27" w:type="dxa"/>
              <w:start w:w="48" w:type="dxa"/>
              <w:bottom w:w="27" w:type="dxa"/>
              <w:end w:w="48" w:type="dxa"/>
            </w:tcMar>
          </w:tcPr>
          <w:p>
            <w:pPr>
              <w:spacing w:after="0" w:line="223" w:lineRule="auto"/>
            </w:pPr>
            <w:r>
              <w:rPr>
                <w:b/>
                <w:sz w:val="14"/>
              </w:rPr>
              <w:t>Integração independente</w:t>
            </w:r>
          </w:p>
        </w:tc>
        <w:tc>
          <w:tcPr>
            <w:tcW w:type="dxa" w:w="5185"/>
            <w:tcMar>
              <w:top w:w="27" w:type="dxa"/>
              <w:start w:w="48" w:type="dxa"/>
              <w:bottom w:w="27" w:type="dxa"/>
              <w:end w:w="48" w:type="dxa"/>
            </w:tcMar>
          </w:tcPr>
          <w:p>
            <w:pPr>
              <w:spacing w:after="0" w:line="223" w:lineRule="auto"/>
            </w:pPr>
            <w:r>
              <w:rPr>
                <w:sz w:val="14"/>
              </w:rPr>
              <w:t>O Executor não aprova nem integra o próprio trabalho; a aceitação/merge é realizada pelo Revisor apenas após autorização do Auditor.</w:t>
            </w:r>
          </w:p>
        </w:tc>
      </w:tr>
      <w:tr>
        <w:tc>
          <w:tcPr>
            <w:tcW w:type="dxa" w:w="5185"/>
            <w:tcMar>
              <w:top w:w="27" w:type="dxa"/>
              <w:start w:w="48" w:type="dxa"/>
              <w:bottom w:w="27" w:type="dxa"/>
              <w:end w:w="48" w:type="dxa"/>
            </w:tcMar>
          </w:tcPr>
          <w:p>
            <w:pPr>
              <w:spacing w:after="0" w:line="223" w:lineRule="auto"/>
            </w:pPr>
            <w:r>
              <w:rPr>
                <w:b/>
                <w:sz w:val="14"/>
              </w:rPr>
              <w:t>Rastreabilidade preservada</w:t>
            </w:r>
          </w:p>
        </w:tc>
        <w:tc>
          <w:tcPr>
            <w:tcW w:type="dxa" w:w="5185"/>
            <w:tcMar>
              <w:top w:w="27" w:type="dxa"/>
              <w:start w:w="48" w:type="dxa"/>
              <w:bottom w:w="27" w:type="dxa"/>
              <w:end w:w="48" w:type="dxa"/>
            </w:tcMar>
          </w:tcPr>
          <w:p>
            <w:pPr>
              <w:spacing w:after="0" w:line="223" w:lineRule="auto"/>
            </w:pPr>
            <w:r>
              <w:rPr>
                <w:sz w:val="14"/>
              </w:rPr>
              <w:t>A Issue, commits, branch, Pull Request, testes, logs de CI/CD e evidências aplicáveis podem ser relacionados entre si.</w:t>
            </w:r>
          </w:p>
        </w:tc>
      </w:tr>
      <w:tr>
        <w:tc>
          <w:tcPr>
            <w:tcW w:type="dxa" w:w="5185"/>
            <w:tcMar>
              <w:top w:w="27" w:type="dxa"/>
              <w:start w:w="48" w:type="dxa"/>
              <w:bottom w:w="27" w:type="dxa"/>
              <w:end w:w="48" w:type="dxa"/>
            </w:tcMar>
          </w:tcPr>
          <w:p>
            <w:pPr>
              <w:spacing w:after="0" w:line="223" w:lineRule="auto"/>
            </w:pPr>
            <w:r>
              <w:rPr>
                <w:b/>
                <w:sz w:val="14"/>
              </w:rPr>
              <w:t>Artefactos sem código</w:t>
            </w:r>
          </w:p>
        </w:tc>
        <w:tc>
          <w:tcPr>
            <w:tcW w:type="dxa" w:w="5185"/>
            <w:tcMar>
              <w:top w:w="27" w:type="dxa"/>
              <w:start w:w="48" w:type="dxa"/>
              <w:bottom w:w="27" w:type="dxa"/>
              <w:end w:w="48" w:type="dxa"/>
            </w:tcMar>
          </w:tcPr>
          <w:p>
            <w:pPr>
              <w:spacing w:after="0" w:line="223" w:lineRule="auto"/>
            </w:pPr>
            <w:r>
              <w:rPr>
                <w:sz w:val="14"/>
              </w:rPr>
              <w:t>Documentação e outros artefactos sem Merge Request seguem um fluxo equivalente de revisão, autorização, aceitação e confirmação.</w:t>
            </w:r>
          </w:p>
        </w:tc>
      </w:tr>
    </w:tbl>
    <w:p>
      <w:pPr>
        <w:pStyle w:val="DoDHeading1"/>
        <w:keepNext/>
        <w:spacing w:before="80" w:after="40"/>
      </w:pPr>
      <w:r>
        <w:t>4. Fluxo de encerramento da tarefa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3457"/>
            <w:shd w:fill="F2F2F2"/>
            <w:tcMar>
              <w:top w:w="36" w:type="dxa"/>
              <w:start w:w="50" w:type="dxa"/>
              <w:bottom w:w="36" w:type="dxa"/>
              <w:end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Transição</w:t>
            </w:r>
          </w:p>
        </w:tc>
        <w:tc>
          <w:tcPr>
            <w:tcW w:type="dxa" w:w="3457"/>
            <w:shd w:fill="F2F2F2"/>
            <w:tcMar>
              <w:top w:w="36" w:type="dxa"/>
              <w:start w:w="50" w:type="dxa"/>
              <w:bottom w:w="36" w:type="dxa"/>
              <w:end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Responsável</w:t>
            </w:r>
          </w:p>
        </w:tc>
        <w:tc>
          <w:tcPr>
            <w:tcW w:type="dxa" w:w="3457"/>
            <w:shd w:fill="F2F2F2"/>
            <w:tcMar>
              <w:top w:w="36" w:type="dxa"/>
              <w:start w:w="50" w:type="dxa"/>
              <w:bottom w:w="36" w:type="dxa"/>
              <w:end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Condição</w:t>
            </w:r>
          </w:p>
        </w:tc>
      </w:tr>
      <w:tr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</w:tcPr>
          <w:p>
            <w:pPr>
              <w:spacing w:after="0" w:line="223" w:lineRule="auto"/>
            </w:pPr>
            <w:r>
              <w:rPr>
                <w:sz w:val="14"/>
              </w:rPr>
              <w:t>Em Execução → Em Revisão</w:t>
            </w:r>
          </w:p>
        </w:tc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</w:tcPr>
          <w:p>
            <w:pPr>
              <w:spacing w:after="0" w:line="223" w:lineRule="auto"/>
            </w:pPr>
            <w:r>
              <w:rPr>
                <w:b/>
                <w:sz w:val="14"/>
              </w:rPr>
              <w:t>Executor</w:t>
            </w:r>
          </w:p>
        </w:tc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</w:tcPr>
          <w:p>
            <w:pPr>
              <w:spacing w:after="0" w:line="223" w:lineRule="auto"/>
            </w:pPr>
            <w:r>
              <w:rPr>
                <w:sz w:val="14"/>
              </w:rPr>
              <w:t>Entrega o resultado e solicita formalmente a revisão.</w:t>
            </w:r>
          </w:p>
        </w:tc>
      </w:tr>
      <w:tr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</w:tcPr>
          <w:p>
            <w:pPr>
              <w:spacing w:after="0" w:line="223" w:lineRule="auto"/>
            </w:pPr>
            <w:r>
              <w:rPr>
                <w:sz w:val="14"/>
              </w:rPr>
              <w:t>Em Revisão → Em Auditoria de Qualidade</w:t>
            </w:r>
          </w:p>
        </w:tc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</w:tcPr>
          <w:p>
            <w:pPr>
              <w:spacing w:after="0" w:line="223" w:lineRule="auto"/>
            </w:pPr>
            <w:r>
              <w:rPr>
                <w:b/>
                <w:sz w:val="14"/>
              </w:rPr>
              <w:t>Revisor</w:t>
            </w:r>
          </w:p>
        </w:tc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</w:tcPr>
          <w:p>
            <w:pPr>
              <w:spacing w:after="0" w:line="223" w:lineRule="auto"/>
            </w:pPr>
            <w:r>
              <w:rPr>
                <w:sz w:val="14"/>
              </w:rPr>
              <w:t>Conclui a revisão, produz as evidências e entrega ao Auditor.</w:t>
            </w:r>
          </w:p>
        </w:tc>
      </w:tr>
      <w:tr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</w:tcPr>
          <w:p>
            <w:pPr>
              <w:spacing w:after="0" w:line="223" w:lineRule="auto"/>
            </w:pPr>
            <w:r>
              <w:rPr>
                <w:sz w:val="14"/>
              </w:rPr>
              <w:t>Auditoria → autorização</w:t>
            </w:r>
          </w:p>
        </w:tc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</w:tcPr>
          <w:p>
            <w:pPr>
              <w:spacing w:after="0" w:line="223" w:lineRule="auto"/>
            </w:pPr>
            <w:r>
              <w:rPr>
                <w:b/>
                <w:sz w:val="14"/>
              </w:rPr>
              <w:t>Auditor</w:t>
            </w:r>
          </w:p>
        </w:tc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</w:tcPr>
          <w:p>
            <w:pPr>
              <w:spacing w:after="0" w:line="223" w:lineRule="auto"/>
            </w:pPr>
            <w:r>
              <w:rPr>
                <w:sz w:val="14"/>
              </w:rPr>
              <w:t>Se estiver conforme, regista AUTORIZAÇÃO DE ACEITAÇÃO.</w:t>
            </w:r>
          </w:p>
        </w:tc>
      </w:tr>
      <w:tr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</w:tcPr>
          <w:p>
            <w:pPr>
              <w:spacing w:after="0" w:line="223" w:lineRule="auto"/>
            </w:pPr>
            <w:r>
              <w:rPr>
                <w:sz w:val="14"/>
              </w:rPr>
              <w:t>Aceitação / merge</w:t>
            </w:r>
          </w:p>
        </w:tc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</w:tcPr>
          <w:p>
            <w:pPr>
              <w:spacing w:after="0" w:line="223" w:lineRule="auto"/>
            </w:pPr>
            <w:r>
              <w:rPr>
                <w:b/>
                <w:sz w:val="14"/>
              </w:rPr>
              <w:t>Revisor</w:t>
            </w:r>
          </w:p>
        </w:tc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</w:tcPr>
          <w:p>
            <w:pPr>
              <w:spacing w:after="0" w:line="223" w:lineRule="auto"/>
            </w:pPr>
            <w:r>
              <w:rPr>
                <w:sz w:val="14"/>
              </w:rPr>
              <w:t>Aceita formalmente o artefacto ou executa o merge e regista ACEITAÇÃO FINAL CONCLUÍDA.</w:t>
            </w:r>
          </w:p>
        </w:tc>
      </w:tr>
      <w:tr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</w:tcPr>
          <w:p>
            <w:pPr>
              <w:spacing w:after="0" w:line="223" w:lineRule="auto"/>
            </w:pPr>
            <w:r>
              <w:rPr>
                <w:sz w:val="14"/>
              </w:rPr>
              <w:t>Auditoria final → Pronta para Sprint Review</w:t>
            </w:r>
          </w:p>
        </w:tc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</w:tcPr>
          <w:p>
            <w:pPr>
              <w:spacing w:after="0" w:line="223" w:lineRule="auto"/>
            </w:pPr>
            <w:r>
              <w:rPr>
                <w:b/>
                <w:sz w:val="14"/>
              </w:rPr>
              <w:t>Auditor</w:t>
            </w:r>
          </w:p>
        </w:tc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</w:tcPr>
          <w:p>
            <w:pPr>
              <w:spacing w:after="0" w:line="223" w:lineRule="auto"/>
            </w:pPr>
            <w:r>
              <w:rPr>
                <w:sz w:val="14"/>
              </w:rPr>
              <w:t>Confirma a versão final e regista AUDITORIA FINAL CONCLUÍDA.</w:t>
            </w:r>
          </w:p>
        </w:tc>
      </w:tr>
      <w:tr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</w:tcPr>
          <w:p>
            <w:pPr>
              <w:spacing w:after="0" w:line="223" w:lineRule="auto"/>
            </w:pPr>
            <w:r>
              <w:rPr>
                <w:sz w:val="14"/>
              </w:rPr>
              <w:t>Pronta para Sprint Review → Done</w:t>
            </w:r>
          </w:p>
        </w:tc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</w:tcPr>
          <w:p>
            <w:pPr>
              <w:spacing w:after="0" w:line="223" w:lineRule="auto"/>
            </w:pPr>
            <w:r>
              <w:rPr>
                <w:b/>
                <w:sz w:val="14"/>
              </w:rPr>
              <w:t>Secretário</w:t>
            </w:r>
          </w:p>
        </w:tc>
        <w:tc>
          <w:tcPr>
            <w:tcW w:type="dxa" w:w="3457"/>
            <w:tcMar>
              <w:top w:w="25" w:type="dxa"/>
              <w:start w:w="42" w:type="dxa"/>
              <w:bottom w:w="25" w:type="dxa"/>
              <w:end w:w="42" w:type="dxa"/>
            </w:tcMar>
          </w:tcPr>
          <w:p>
            <w:pPr>
              <w:spacing w:after="0" w:line="223" w:lineRule="auto"/>
            </w:pPr>
            <w:r>
              <w:rPr>
                <w:sz w:val="14"/>
              </w:rPr>
              <w:t>Só após aprovação formal da tarefa no Sprint Review.</w:t>
            </w:r>
          </w:p>
        </w:tc>
      </w:tr>
    </w:tbl>
    <w:p>
      <w:pPr>
        <w:pStyle w:val="DoDHeading1"/>
        <w:keepNext/>
        <w:spacing w:before="80" w:after="40"/>
      </w:pPr>
      <w:r>
        <w:t>5. Regra de decisão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D9E2F3"/>
            <w:tcMar>
              <w:top w:w="42" w:type="dxa"/>
              <w:start w:w="58" w:type="dxa"/>
              <w:bottom w:w="42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DONE</w:t>
            </w:r>
          </w:p>
        </w:tc>
        <w:tc>
          <w:tcPr>
            <w:tcW w:type="dxa" w:w="5185"/>
            <w:tcMar>
              <w:top w:w="42" w:type="dxa"/>
              <w:start w:w="58" w:type="dxa"/>
              <w:bottom w:w="42" w:type="dxa"/>
              <w:end w:w="58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Todos os critérios obrigatórios aplicáveis estão cumpridos e o Sprint Review aprovou o encerramento.</w:t>
            </w:r>
          </w:p>
        </w:tc>
      </w:tr>
      <w:tr>
        <w:tc>
          <w:tcPr>
            <w:tcW w:type="dxa" w:w="5185"/>
            <w:shd w:fill="F4CCCC"/>
            <w:tcMar>
              <w:top w:w="42" w:type="dxa"/>
              <w:start w:w="58" w:type="dxa"/>
              <w:bottom w:w="42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NOT DONE</w:t>
            </w:r>
          </w:p>
        </w:tc>
        <w:tc>
          <w:tcPr>
            <w:tcW w:type="dxa" w:w="5185"/>
            <w:tcMar>
              <w:top w:w="42" w:type="dxa"/>
              <w:start w:w="58" w:type="dxa"/>
              <w:bottom w:w="42" w:type="dxa"/>
              <w:end w:w="58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Existe pelo menos um critério obrigatório por cumprir ou o Sprint Review rejeitou o resultado. A tarefa regressa ao estado adequado do fluxo.</w:t>
            </w:r>
          </w:p>
        </w:tc>
      </w:tr>
    </w:tbl>
    <w:p>
      <w:pPr>
        <w:pStyle w:val="DoDHeading1"/>
        <w:keepNext/>
        <w:spacing w:before="80" w:after="40"/>
      </w:pPr>
      <w:r>
        <w:t>6. Regra após o encerramento</w:t>
      </w:r>
    </w:p>
    <w:p>
      <w:pPr>
        <w:spacing w:after="60"/>
      </w:pPr>
      <w:r>
        <w:t>Uma tarefa que tenha atingido o estado Done não é reaberta. Um defeito ou proposta de melhoria identificado posteriormente deve originar uma nova Issue relacionada com a tarefa original.</w:t>
      </w:r>
    </w:p>
    <w:p>
      <w:pPr>
        <w:pStyle w:val="DoDHeading1"/>
        <w:keepNext/>
        <w:spacing w:before="80" w:after="40"/>
      </w:pPr>
      <w:r>
        <w:t>7. Checklist rápida de confirmação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tcMar>
              <w:top w:w="25" w:type="dxa"/>
              <w:start w:w="42" w:type="dxa"/>
              <w:bottom w:w="25" w:type="dxa"/>
              <w:end w:w="42" w:type="dxa"/>
            </w:tcMar>
          </w:tcPr>
          <w:p>
            <w:pPr>
              <w:spacing w:after="0"/>
            </w:pPr>
            <w:r>
              <w:rPr>
                <w:sz w:val="14"/>
              </w:rPr>
              <w:t>☐ Resultado final acessível</w:t>
            </w:r>
          </w:p>
        </w:tc>
        <w:tc>
          <w:tcPr>
            <w:tcW w:type="dxa" w:w="5185"/>
            <w:tcMar>
              <w:top w:w="25" w:type="dxa"/>
              <w:start w:w="42" w:type="dxa"/>
              <w:bottom w:w="25" w:type="dxa"/>
              <w:end w:w="42" w:type="dxa"/>
            </w:tcMar>
          </w:tcPr>
          <w:p>
            <w:pPr>
              <w:spacing w:after="0"/>
            </w:pPr>
            <w:r>
              <w:rPr>
                <w:sz w:val="14"/>
              </w:rPr>
              <w:t>☐ Autorização de aceitação registada</w:t>
            </w:r>
          </w:p>
        </w:tc>
      </w:tr>
      <w:tr>
        <w:tc>
          <w:tcPr>
            <w:tcW w:type="dxa" w:w="5185"/>
            <w:tcMar>
              <w:top w:w="25" w:type="dxa"/>
              <w:start w:w="42" w:type="dxa"/>
              <w:bottom w:w="25" w:type="dxa"/>
              <w:end w:w="42" w:type="dxa"/>
            </w:tcMar>
          </w:tcPr>
          <w:p>
            <w:pPr>
              <w:spacing w:after="0"/>
            </w:pPr>
            <w:r>
              <w:rPr>
                <w:sz w:val="14"/>
              </w:rPr>
              <w:t>☐ Critérios de aceitação cumpridos</w:t>
            </w:r>
          </w:p>
        </w:tc>
        <w:tc>
          <w:tcPr>
            <w:tcW w:type="dxa" w:w="5185"/>
            <w:tcMar>
              <w:top w:w="25" w:type="dxa"/>
              <w:start w:w="42" w:type="dxa"/>
              <w:bottom w:w="25" w:type="dxa"/>
              <w:end w:w="42" w:type="dxa"/>
            </w:tcMar>
          </w:tcPr>
          <w:p>
            <w:pPr>
              <w:spacing w:after="0"/>
            </w:pPr>
            <w:r>
              <w:rPr>
                <w:sz w:val="14"/>
              </w:rPr>
              <w:t>☐ Aceitação/merge efetuado pelo Revisor</w:t>
            </w:r>
          </w:p>
        </w:tc>
      </w:tr>
      <w:tr>
        <w:tc>
          <w:tcPr>
            <w:tcW w:type="dxa" w:w="5185"/>
            <w:tcMar>
              <w:top w:w="25" w:type="dxa"/>
              <w:start w:w="42" w:type="dxa"/>
              <w:bottom w:w="25" w:type="dxa"/>
              <w:end w:w="42" w:type="dxa"/>
            </w:tcMar>
          </w:tcPr>
          <w:p>
            <w:pPr>
              <w:spacing w:after="0"/>
            </w:pPr>
            <w:r>
              <w:rPr>
                <w:sz w:val="14"/>
              </w:rPr>
              <w:t>☐ Sem defeitos válidos por resolver</w:t>
            </w:r>
          </w:p>
        </w:tc>
        <w:tc>
          <w:tcPr>
            <w:tcW w:type="dxa" w:w="5185"/>
            <w:tcMar>
              <w:top w:w="25" w:type="dxa"/>
              <w:start w:w="42" w:type="dxa"/>
              <w:bottom w:w="25" w:type="dxa"/>
              <w:end w:w="42" w:type="dxa"/>
            </w:tcMar>
          </w:tcPr>
          <w:p>
            <w:pPr>
              <w:spacing w:after="0"/>
            </w:pPr>
            <w:r>
              <w:rPr>
                <w:sz w:val="14"/>
              </w:rPr>
              <w:t>☐ Versão final confirmada pelo Auditor</w:t>
            </w:r>
          </w:p>
        </w:tc>
      </w:tr>
      <w:tr>
        <w:tc>
          <w:tcPr>
            <w:tcW w:type="dxa" w:w="5185"/>
            <w:tcMar>
              <w:top w:w="25" w:type="dxa"/>
              <w:start w:w="42" w:type="dxa"/>
              <w:bottom w:w="25" w:type="dxa"/>
              <w:end w:w="42" w:type="dxa"/>
            </w:tcMar>
          </w:tcPr>
          <w:p>
            <w:pPr>
              <w:spacing w:after="0"/>
            </w:pPr>
            <w:r>
              <w:rPr>
                <w:sz w:val="14"/>
              </w:rPr>
              <w:t>☐ Evidências do Executor arquivadas</w:t>
            </w:r>
          </w:p>
        </w:tc>
        <w:tc>
          <w:tcPr>
            <w:tcW w:type="dxa" w:w="5185"/>
            <w:tcMar>
              <w:top w:w="25" w:type="dxa"/>
              <w:start w:w="42" w:type="dxa"/>
              <w:bottom w:w="25" w:type="dxa"/>
              <w:end w:w="42" w:type="dxa"/>
            </w:tcMar>
          </w:tcPr>
          <w:p>
            <w:pPr>
              <w:spacing w:after="0"/>
            </w:pPr>
            <w:r>
              <w:rPr>
                <w:sz w:val="14"/>
              </w:rPr>
              <w:t>☐ Transferências e pontuações registadas</w:t>
            </w:r>
          </w:p>
        </w:tc>
      </w:tr>
      <w:tr>
        <w:tc>
          <w:tcPr>
            <w:tcW w:type="dxa" w:w="5185"/>
            <w:tcMar>
              <w:top w:w="25" w:type="dxa"/>
              <w:start w:w="42" w:type="dxa"/>
              <w:bottom w:w="25" w:type="dxa"/>
              <w:end w:w="42" w:type="dxa"/>
            </w:tcMar>
          </w:tcPr>
          <w:p>
            <w:pPr>
              <w:spacing w:after="0"/>
            </w:pPr>
            <w:r>
              <w:rPr>
                <w:sz w:val="14"/>
              </w:rPr>
              <w:t>☐ Revisão e evidências arquivadas</w:t>
            </w:r>
          </w:p>
        </w:tc>
        <w:tc>
          <w:tcPr>
            <w:tcW w:type="dxa" w:w="5185"/>
            <w:tcMar>
              <w:top w:w="25" w:type="dxa"/>
              <w:start w:w="42" w:type="dxa"/>
              <w:bottom w:w="25" w:type="dxa"/>
              <w:end w:w="42" w:type="dxa"/>
            </w:tcMar>
          </w:tcPr>
          <w:p>
            <w:pPr>
              <w:spacing w:after="0"/>
            </w:pPr>
            <w:r>
              <w:rPr>
                <w:sz w:val="14"/>
              </w:rPr>
              <w:t>☐ Quality gates aplicáveis aprovados</w:t>
            </w:r>
          </w:p>
        </w:tc>
      </w:tr>
      <w:tr>
        <w:tc>
          <w:tcPr>
            <w:tcW w:type="dxa" w:w="5185"/>
            <w:tcMar>
              <w:top w:w="25" w:type="dxa"/>
              <w:start w:w="42" w:type="dxa"/>
              <w:bottom w:w="25" w:type="dxa"/>
              <w:end w:w="42" w:type="dxa"/>
            </w:tcMar>
          </w:tcPr>
          <w:p>
            <w:pPr>
              <w:spacing w:after="0"/>
            </w:pPr>
            <w:r>
              <w:rPr>
                <w:sz w:val="14"/>
              </w:rPr>
              <w:t>☐ Auditoria e evidências arquivadas</w:t>
            </w:r>
          </w:p>
        </w:tc>
        <w:tc>
          <w:tcPr>
            <w:tcW w:type="dxa" w:w="5185"/>
            <w:tcMar>
              <w:top w:w="25" w:type="dxa"/>
              <w:start w:w="42" w:type="dxa"/>
              <w:bottom w:w="25" w:type="dxa"/>
              <w:end w:w="42" w:type="dxa"/>
            </w:tcMar>
          </w:tcPr>
          <w:p>
            <w:pPr>
              <w:spacing w:after="0"/>
            </w:pPr>
            <w:r>
              <w:rPr>
                <w:sz w:val="14"/>
              </w:rPr>
              <w:t>☐ Sprint Review aprovou o encerramento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G08 | LDS | Definition of Done v01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DTitle">
    <w:name w:val="DoDTitle"/>
    <w:rPr>
      <w:rFonts w:ascii="Aptos Display" w:hAnsi="Aptos Display"/>
      <w:b/>
      <w:sz w:val="36"/>
    </w:rPr>
  </w:style>
  <w:style w:type="paragraph" w:customStyle="1" w:styleId="DoDHeading1">
    <w:name w:val="DoDHeading1"/>
    <w:rPr>
      <w:rFonts w:ascii="Aptos" w:hAnsi="Aptos"/>
      <w:b/>
      <w:sz w:val="24"/>
    </w:rPr>
  </w:style>
  <w:style w:type="paragraph" w:customStyle="1" w:styleId="DoDHeading2">
    <w:name w:val="DoDHeading2"/>
    <w:rPr>
      <w:rFonts w:ascii="Aptos" w:hAnsi="Aptos"/>
      <w:b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3B981485C9E24DAE651C97D9FBC267" ma:contentTypeVersion="9" ma:contentTypeDescription="Criar um novo documento." ma:contentTypeScope="" ma:versionID="67106ac685bde41cc0caab8279921af5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6a225e97788944c998cfd0bee463245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m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2778B0A-2923-4F88-81BA-C09C6D311257}"/>
</file>

<file path=customXml/itemProps3.xml><?xml version="1.0" encoding="utf-8"?>
<ds:datastoreItem xmlns:ds="http://schemas.openxmlformats.org/officeDocument/2006/customXml" ds:itemID="{136AF64D-B3FE-402F-A5F5-23BB0F510532}"/>
</file>

<file path=customXml/itemProps4.xml><?xml version="1.0" encoding="utf-8"?>
<ds:datastoreItem xmlns:ds="http://schemas.openxmlformats.org/officeDocument/2006/customXml" ds:itemID="{6DA9F80E-B017-489B-B928-A248EACB59C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