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DTitle"/>
        <w:jc w:val="center"/>
      </w:pPr>
      <w:r>
        <w:t>Definition of Done (DoD)</w:t>
      </w:r>
    </w:p>
    <w:p>
      <w:pPr>
        <w:spacing w:after="100"/>
        <w:jc w:val="center"/>
      </w:pPr>
      <w:r>
        <w:rPr>
          <w:b/>
          <w:sz w:val="20"/>
        </w:rPr>
        <w:t>Laboratório de Desenvolvimento de Software  |  Ano letivo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247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DEDED"/>
          </w:tcPr>
          <w:p>
            <w:pPr>
              <w:spacing w:after="0"/>
            </w:pPr>
            <w:r>
              <w:rPr>
                <w:b/>
                <w:sz w:val="16"/>
              </w:rPr>
              <w:t>Grupo</w:t>
            </w:r>
          </w:p>
        </w:tc>
        <w:tc>
          <w:tcPr>
            <w:tcW w:type="dxa" w:w="2721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/>
            </w:pPr>
            <w:r>
              <w:rPr>
                <w:sz w:val="16"/>
              </w:rPr>
              <w:t>G08</w:t>
            </w:r>
          </w:p>
        </w:tc>
        <w:tc>
          <w:tcPr>
            <w:tcW w:type="dxa" w:w="1361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DEDED"/>
          </w:tcPr>
          <w:p>
            <w:pPr>
              <w:spacing w:after="0"/>
            </w:pPr>
            <w:r>
              <w:rPr>
                <w:b/>
                <w:sz w:val="16"/>
              </w:rPr>
              <w:t>Projeto</w:t>
            </w:r>
          </w:p>
        </w:tc>
        <w:tc>
          <w:tcPr>
            <w:tcW w:type="dxa" w:w="3402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/>
            </w:pPr>
            <w:r>
              <w:rPr>
                <w:sz w:val="16"/>
              </w:rPr>
              <w:t>Gestão de Clínica Veterinária</w:t>
            </w:r>
          </w:p>
        </w:tc>
      </w:tr>
      <w:tr>
        <w:tc>
          <w:tcPr>
            <w:tcW w:type="dxa" w:w="1247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DEDED"/>
          </w:tcPr>
          <w:p>
            <w:pPr>
              <w:spacing w:after="0"/>
            </w:pPr>
            <w:r>
              <w:rPr>
                <w:b/>
                <w:sz w:val="16"/>
              </w:rPr>
              <w:t>Versão</w:t>
            </w:r>
          </w:p>
        </w:tc>
        <w:tc>
          <w:tcPr>
            <w:tcW w:type="dxa" w:w="2721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/>
            </w:pPr>
            <w:r>
              <w:rPr>
                <w:sz w:val="16"/>
              </w:rPr>
              <w:t>v01</w:t>
            </w:r>
          </w:p>
        </w:tc>
        <w:tc>
          <w:tcPr>
            <w:tcW w:type="dxa" w:w="1361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DEDED"/>
          </w:tcPr>
          <w:p>
            <w:pPr>
              <w:spacing w:after="0"/>
            </w:pPr>
            <w:r>
              <w:rPr>
                <w:b/>
                <w:sz w:val="16"/>
              </w:rPr>
              <w:t>Data</w:t>
            </w:r>
          </w:p>
        </w:tc>
        <w:tc>
          <w:tcPr>
            <w:tcW w:type="dxa" w:w="3402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/>
            </w:pPr>
            <w:r>
              <w:rPr>
                <w:sz w:val="16"/>
              </w:rPr>
              <w:t>25/09/2026</w:t>
            </w:r>
          </w:p>
        </w:tc>
      </w:tr>
    </w:tbl>
    <w:p>
      <w:pPr>
        <w:pStyle w:val="DoDHeading1"/>
        <w:keepNext/>
        <w:spacing w:before="80" w:after="40"/>
      </w:pPr>
      <w:r>
        <w:t>1. Objetivo e âmbito</w:t>
      </w:r>
    </w:p>
    <w:p>
      <w:pPr>
        <w:spacing w:after="60"/>
      </w:pPr>
      <w:r>
        <w:t>A presente Definition of Done (DoD) define as condições que uma tarefa deve cumprir para poder ser considerada concluída, aprovada e encerrada. A DoD aplica-se às tarefas do projeto sujeitas ao fluxo normal de execução, revisão e auditoria.</w:t>
      </w:r>
    </w:p>
    <w:p>
      <w:pPr>
        <w:spacing w:after="60"/>
      </w:pPr>
      <w:r>
        <w:t>Uma tarefa não é considerada Done apenas porque o Executor terminou o trabalho. O encerramento exige a conclusão das verificações, evidências, revisão, auditoria, aceitação e aprovação formal previstas.</w:t>
      </w:r>
    </w:p>
    <w:p>
      <w:pPr>
        <w:pStyle w:val="DoDHeading1"/>
        <w:keepNext/>
        <w:spacing w:before="80" w:after="40"/>
      </w:pPr>
      <w:r>
        <w:t>2. Documentos de referência</w:t>
      </w:r>
    </w:p>
    <w:p>
      <w:pPr>
        <w:pStyle w:val="ListBullet"/>
        <w:spacing w:after="30"/>
      </w:pPr>
      <w:r>
        <w:t>Regulamento de Funcionamento da Unidade Curricular de Laboratório de Desenvolvimento de Software, versão 19, em especial as secções 9, 14, 15, 16 e 17.</w:t>
      </w:r>
    </w:p>
    <w:p>
      <w:pPr>
        <w:pStyle w:val="ListBullet"/>
        <w:spacing w:after="30"/>
      </w:pPr>
      <w:r>
        <w:t>Regulamento Interno do Grupo G08, versão v01, em especial as secções 9, 10, 11, 12 e 15.</w:t>
      </w:r>
    </w:p>
    <w:p>
      <w:pPr>
        <w:pStyle w:val="DoDHeading1"/>
        <w:keepNext/>
        <w:spacing w:before="80" w:after="40"/>
      </w:pPr>
      <w:r>
        <w:t>3. Definition of Done</w:t>
      </w:r>
    </w:p>
    <w:p>
      <w:pPr>
        <w:pStyle w:val="DoDHeading2"/>
        <w:keepNext/>
        <w:spacing w:before="60" w:after="40"/>
      </w:pPr>
      <w:r>
        <w:t>3.1. Critérios obrigatórios da UC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3457"/>
            <w:shd w:fill="D9E2F3"/>
            <w:tcMar>
              <w:top w:w="38" w:type="dxa"/>
              <w:start w:w="55" w:type="dxa"/>
              <w:bottom w:w="38" w:type="dxa"/>
              <w:end w:w="55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N.º</w:t>
            </w:r>
          </w:p>
        </w:tc>
        <w:tc>
          <w:tcPr>
            <w:tcW w:type="dxa" w:w="3457"/>
            <w:shd w:fill="D9E2F3"/>
            <w:tcMar>
              <w:top w:w="38" w:type="dxa"/>
              <w:start w:w="55" w:type="dxa"/>
              <w:bottom w:w="38" w:type="dxa"/>
              <w:end w:w="55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Critério</w:t>
            </w:r>
          </w:p>
        </w:tc>
        <w:tc>
          <w:tcPr>
            <w:tcW w:type="dxa" w:w="3457"/>
            <w:shd w:fill="D9E2F3"/>
            <w:tcMar>
              <w:top w:w="38" w:type="dxa"/>
              <w:start w:w="55" w:type="dxa"/>
              <w:bottom w:w="38" w:type="dxa"/>
              <w:end w:w="55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Condição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Resultado acessível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O resultado final da tarefa está disponível e pode ser consultado, executado ou verificado, conforme a sua natureza.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Critérios cumpridos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Todos os critérios de aceitação aprovados para a tarefa estão cumpridos.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Sem defeitos válidos por resolver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Não existem defeitos obrigatórios identificados e ainda por corrigir.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Evidências do Executor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As evidências previstas para demonstrar a execução da tarefa estão produzidas e arquivadas.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Revisão arquivada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A revisão foi concluída e as respetivas evidências estão arquivadas.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Auditoria arquivada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A auditoria foi concluída e as respetivas evidências estão arquivadas.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Autorização do Auditor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O Auditor autorizou formalmente a aceitação da versão revista ou, quando aplicável, o merge.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Aceitação pelo Revisor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O Revisor efetuou a aceitação formal do artefacto ou executou o merge, depois da autorização do Auditor.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Confirmação final do Auditor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O Auditor confirmou a versão final, incluindo a ausência de alterações posteriores não revistas.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Transferências registadas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Quando existiram transferências, estas encontram-se formalmente registadas e refletidas no histórico aplicável.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Pontuações registadas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As pontuações e classificações aplicáveis à tarefa encontram-se registadas.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Aprovação no Sprint Review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O Sprint Review aprovou formalmente o encerramento da tarefa.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b/>
                <w:sz w:val="14"/>
              </w:rPr>
              <w:t>Estado Done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  <w:vAlign w:val="center"/>
          </w:tcPr>
          <w:p>
            <w:pPr>
              <w:spacing w:after="0" w:line="216" w:lineRule="auto"/>
            </w:pPr>
            <w:r>
              <w:rPr>
                <w:sz w:val="14"/>
              </w:rPr>
              <w:t>Depois da aprovação no Sprint Review, o Secretário move a tarefa para o estado Done.</w:t>
            </w:r>
          </w:p>
        </w:tc>
      </w:tr>
    </w:tbl>
    <w:p>
      <w:pPr>
        <w:pStyle w:val="DoDHeading2"/>
        <w:keepNext/>
        <w:spacing w:before="60" w:after="40"/>
      </w:pPr>
      <w:r>
        <w:t>3.2. Critérios operacionais adicionais do G08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5185"/>
            <w:shd w:fill="E2F0D9"/>
            <w:tcMar>
              <w:top w:w="38" w:type="dxa"/>
              <w:start w:w="55" w:type="dxa"/>
              <w:bottom w:w="38" w:type="dxa"/>
              <w:end w:w="55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Critério operacional</w:t>
            </w:r>
          </w:p>
        </w:tc>
        <w:tc>
          <w:tcPr>
            <w:tcW w:type="dxa" w:w="5185"/>
            <w:shd w:fill="E2F0D9"/>
            <w:tcMar>
              <w:top w:w="38" w:type="dxa"/>
              <w:start w:w="55" w:type="dxa"/>
              <w:bottom w:w="38" w:type="dxa"/>
              <w:end w:w="55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Condição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Código versionado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Quando a tarefa envolve código, a alteração está associada à Issue e segue a estratégia Git definida pelo G08.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Pull Request preparado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O Pull Request identifica a Issue, descreve as alterações e contém a checklist de verificação adotada pelo grupo.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Quality gates aprovados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Todos os quality gates aplicáveis terminam com sucesso antes da integração: build, testes, cobertura, análise estática, linters e restantes verificações definidas pelo G08.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Cobertura mínima aplicável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Quando aplicável ao backend, a cobertura de linhas cumpre o limiar mínimo de 70% definido pelo grupo.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Integração independente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O Executor não aprova nem integra o próprio trabalho; a aceitação/merge é realizada pelo Revisor apenas após autorização do Auditor.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Rastreabilidade preservada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A Issue, commits, branch, Pull Request, testes, logs de CI/CD e evidências aplicáveis podem ser relacionados entre si.</w:t>
            </w:r>
          </w:p>
        </w:tc>
      </w:tr>
      <w:tr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Artefactos sem código</w:t>
            </w:r>
          </w:p>
        </w:tc>
        <w:tc>
          <w:tcPr>
            <w:tcW w:type="dxa" w:w="5185"/>
            <w:tcMar>
              <w:top w:w="27" w:type="dxa"/>
              <w:start w:w="48" w:type="dxa"/>
              <w:bottom w:w="27" w:type="dxa"/>
              <w:end w:w="48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Documentação e outros artefactos sem Merge Request seguem um fluxo equivalente de revisão, autorização, aceitação e confirmação.</w:t>
            </w:r>
          </w:p>
        </w:tc>
      </w:tr>
    </w:tbl>
    <w:p>
      <w:pPr>
        <w:pStyle w:val="DoDHeading1"/>
        <w:keepNext/>
        <w:spacing w:before="80" w:after="40"/>
      </w:pPr>
      <w:r>
        <w:t>4. Fluxo de encerramento da tarefa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7"/>
        <w:gridCol w:w="3457"/>
        <w:gridCol w:w="3457"/>
      </w:tblGrid>
      <w:tr>
        <w:trPr>
          <w:tblHeader w:val="true"/>
        </w:trPr>
        <w:tc>
          <w:tcPr>
            <w:tcW w:type="dxa" w:w="3457"/>
            <w:shd w:fill="F2F2F2"/>
            <w:tcMar>
              <w:top w:w="36" w:type="dxa"/>
              <w:start w:w="50" w:type="dxa"/>
              <w:bottom w:w="36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Transição</w:t>
            </w:r>
          </w:p>
        </w:tc>
        <w:tc>
          <w:tcPr>
            <w:tcW w:type="dxa" w:w="3457"/>
            <w:shd w:fill="F2F2F2"/>
            <w:tcMar>
              <w:top w:w="36" w:type="dxa"/>
              <w:start w:w="50" w:type="dxa"/>
              <w:bottom w:w="36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Responsável</w:t>
            </w:r>
          </w:p>
        </w:tc>
        <w:tc>
          <w:tcPr>
            <w:tcW w:type="dxa" w:w="3457"/>
            <w:shd w:fill="F2F2F2"/>
            <w:tcMar>
              <w:top w:w="36" w:type="dxa"/>
              <w:start w:w="50" w:type="dxa"/>
              <w:bottom w:w="36" w:type="dxa"/>
              <w:end w:w="50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Condição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Em Execução → Em Revisão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Executor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Entrega o resultado e solicita formalmente a revisão.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Em Revisão → Em Auditoria de Qualidade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Revisor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Conclui a revisão, produz as evidências e entrega ao Auditor.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Auditoria → autorização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Auditor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Se estiver conforme, regista AUTORIZAÇÃO DE ACEITAÇÃO.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Aceitação / merge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Revisor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Aceita formalmente o artefacto ou executa o merge e regista ACEITAÇÃO FINAL CONCLUÍDA.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Auditoria final → Pronta para Sprint Review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Auditor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Confirma a versão final e regista AUDITORIA FINAL CONCLUÍDA.</w:t>
            </w:r>
          </w:p>
        </w:tc>
      </w:tr>
      <w:tr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Pronta para Sprint Review → Done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>Secretário</w:t>
            </w:r>
          </w:p>
        </w:tc>
        <w:tc>
          <w:tcPr>
            <w:tcW w:type="dxa" w:w="3457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 w:line="223" w:lineRule="auto"/>
            </w:pPr>
            <w:r>
              <w:rPr>
                <w:sz w:val="14"/>
              </w:rPr>
              <w:t>Só após aprovação formal da tarefa no Sprint Review.</w:t>
            </w:r>
          </w:p>
        </w:tc>
      </w:tr>
    </w:tbl>
    <w:p>
      <w:pPr>
        <w:pStyle w:val="DoDHeading1"/>
        <w:keepNext/>
        <w:spacing w:before="80" w:after="40"/>
      </w:pPr>
      <w:r>
        <w:t>5. Regra de decisão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shd w:fill="D9E2F3"/>
            <w:tcMar>
              <w:top w:w="42" w:type="dxa"/>
              <w:start w:w="58" w:type="dxa"/>
              <w:bottom w:w="42" w:type="dxa"/>
              <w:end w:w="5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DONE</w:t>
            </w:r>
          </w:p>
        </w:tc>
        <w:tc>
          <w:tcPr>
            <w:tcW w:type="dxa" w:w="5185"/>
            <w:tcMar>
              <w:top w:w="42" w:type="dxa"/>
              <w:start w:w="58" w:type="dxa"/>
              <w:bottom w:w="42" w:type="dxa"/>
              <w:end w:w="58" w:type="dxa"/>
            </w:tcMar>
            <w:vAlign w:val="center"/>
          </w:tcPr>
          <w:p>
            <w:pPr>
              <w:spacing w:after="0"/>
            </w:pPr>
            <w:r>
              <w:rPr>
                <w:sz w:val="15"/>
              </w:rPr>
              <w:t>Todos os critérios obrigatórios aplicáveis estão cumpridos e o Sprint Review aprovou o encerramento.</w:t>
            </w:r>
          </w:p>
        </w:tc>
      </w:tr>
      <w:tr>
        <w:tc>
          <w:tcPr>
            <w:tcW w:type="dxa" w:w="5185"/>
            <w:shd w:fill="F4CCCC"/>
            <w:tcMar>
              <w:top w:w="42" w:type="dxa"/>
              <w:start w:w="58" w:type="dxa"/>
              <w:bottom w:w="42" w:type="dxa"/>
              <w:end w:w="5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sz w:val="15"/>
              </w:rPr>
              <w:t>NOT DONE</w:t>
            </w:r>
          </w:p>
        </w:tc>
        <w:tc>
          <w:tcPr>
            <w:tcW w:type="dxa" w:w="5185"/>
            <w:tcMar>
              <w:top w:w="42" w:type="dxa"/>
              <w:start w:w="58" w:type="dxa"/>
              <w:bottom w:w="42" w:type="dxa"/>
              <w:end w:w="58" w:type="dxa"/>
            </w:tcMar>
            <w:vAlign w:val="center"/>
          </w:tcPr>
          <w:p>
            <w:pPr>
              <w:spacing w:after="0"/>
            </w:pPr>
            <w:r>
              <w:rPr>
                <w:sz w:val="15"/>
              </w:rPr>
              <w:t>Existe pelo menos um critério obrigatório por cumprir ou o Sprint Review rejeitou o resultado. A tarefa regressa ao estado adequado do fluxo.</w:t>
            </w:r>
          </w:p>
        </w:tc>
      </w:tr>
    </w:tbl>
    <w:p>
      <w:pPr>
        <w:pStyle w:val="DoDHeading1"/>
        <w:keepNext/>
        <w:spacing w:before="80" w:after="40"/>
      </w:pPr>
      <w:r>
        <w:t>6. Regra após o encerramento</w:t>
      </w:r>
    </w:p>
    <w:p>
      <w:pPr>
        <w:spacing w:after="60"/>
      </w:pPr>
      <w:r>
        <w:t>Uma tarefa que tenha atingido o estado Done não é reaberta. Um defeito ou proposta de melhoria identificado posteriormente deve originar uma nova Issue relacionada com a tarefa original.</w:t>
      </w:r>
    </w:p>
    <w:p>
      <w:pPr>
        <w:pStyle w:val="DoDHeading1"/>
        <w:keepNext/>
        <w:spacing w:before="80" w:after="40"/>
      </w:pPr>
      <w:r>
        <w:t>7. Checklist rápida de confirmação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Resultado final acessível</w:t>
            </w:r>
          </w:p>
        </w:tc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Autorização de aceitação registada</w:t>
            </w:r>
          </w:p>
        </w:tc>
      </w:tr>
      <w:tr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Critérios de aceitação cumpridos</w:t>
            </w:r>
          </w:p>
        </w:tc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Aceitação/merge efetuado pelo Revisor</w:t>
            </w:r>
          </w:p>
        </w:tc>
      </w:tr>
      <w:tr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Sem defeitos válidos por resolver</w:t>
            </w:r>
          </w:p>
        </w:tc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Versão final confirmada pelo Auditor</w:t>
            </w:r>
          </w:p>
        </w:tc>
      </w:tr>
      <w:tr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Evidências do Executor arquivadas</w:t>
            </w:r>
          </w:p>
        </w:tc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Transferências e pontuações registadas</w:t>
            </w:r>
          </w:p>
        </w:tc>
      </w:tr>
      <w:tr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Revisão e evidências arquivadas</w:t>
            </w:r>
          </w:p>
        </w:tc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Quality gates aplicáveis aprovados</w:t>
            </w:r>
          </w:p>
        </w:tc>
      </w:tr>
      <w:tr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Auditoria e evidências arquivadas</w:t>
            </w:r>
          </w:p>
        </w:tc>
        <w:tc>
          <w:tcPr>
            <w:tcW w:type="dxa" w:w="5185"/>
            <w:tcMar>
              <w:top w:w="25" w:type="dxa"/>
              <w:start w:w="42" w:type="dxa"/>
              <w:bottom w:w="25" w:type="dxa"/>
              <w:end w:w="42" w:type="dxa"/>
            </w:tcMar>
          </w:tcPr>
          <w:p>
            <w:pPr>
              <w:spacing w:after="0"/>
            </w:pPr>
            <w:r>
              <w:rPr>
                <w:sz w:val="14"/>
              </w:rPr>
              <w:t>☐ Sprint Review aprovou o encerramento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22" w:right="935" w:bottom="822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G08 | LDS | Definition of Done v01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DTitle">
    <w:name w:val="DoDTitle"/>
    <w:rPr>
      <w:rFonts w:ascii="Aptos Display" w:hAnsi="Aptos Display"/>
      <w:b/>
      <w:sz w:val="36"/>
    </w:rPr>
  </w:style>
  <w:style w:type="paragraph" w:customStyle="1" w:styleId="DoDHeading1">
    <w:name w:val="DoDHeading1"/>
    <w:rPr>
      <w:rFonts w:ascii="Aptos" w:hAnsi="Aptos"/>
      <w:b/>
      <w:sz w:val="24"/>
    </w:rPr>
  </w:style>
  <w:style w:type="paragraph" w:customStyle="1" w:styleId="DoDHeading2">
    <w:name w:val="DoDHeading2"/>
    <w:rPr>
      <w:rFonts w:ascii="Aptos" w:hAnsi="Aptos"/>
      <w:b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12" Type="http://schemas.openxmlformats.org/officeDocument/2006/relationships/customXml" Target="../customXml/item4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3.xml"/><Relationship Id="rId5" Type="http://schemas.openxmlformats.org/officeDocument/2006/relationships/settings" Target="settings.xml"/><Relationship Id="rId10" Type="http://schemas.openxmlformats.org/officeDocument/2006/relationships/customXml" Target="../customXml/item2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3B981485C9E24DAE651C97D9FBC267" ma:contentTypeVersion="3" ma:contentTypeDescription="Criar um novo documento." ma:contentTypeScope="" ma:versionID="038d53549241c520c96fd5780aa4050c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56046c26f9dae1b61e97467fa04c45f4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2BDD638-319A-4612-8BCA-0A0EF2C3DBD5}"/>
</file>

<file path=customXml/itemProps3.xml><?xml version="1.0" encoding="utf-8"?>
<ds:datastoreItem xmlns:ds="http://schemas.openxmlformats.org/officeDocument/2006/customXml" ds:itemID="{136AF64D-B3FE-402F-A5F5-23BB0F510532}"/>
</file>

<file path=customXml/itemProps4.xml><?xml version="1.0" encoding="utf-8"?>
<ds:datastoreItem xmlns:ds="http://schemas.openxmlformats.org/officeDocument/2006/customXml" ds:itemID="{6DA9F80E-B017-489B-B928-A248EACB59C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