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5.xml.rels" ContentType="application/vnd.openxmlformats-package.relationship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5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  <Override PartName="/customXml/item5.xml" ContentType="application/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ind w:left="200" w:hanging="0"/>
        <w:rPr>
          <w:rFonts w:ascii="微軟正黑體" w:hAnsi="微軟正黑體" w:eastAsia="微軟正黑體" w:cs="Microsoft JhengHei UI"/>
          <w:b/>
          <w:color w:val="000000"/>
        </w:rPr>
      </w:pPr>
      <w:r>
        <w:rPr>
          <w:rFonts w:ascii="微軟正黑體" w:hAnsi="微軟正黑體" w:cs="Microsoft JhengHei UI" w:eastAsia="微軟正黑體"/>
          <w:b/>
          <w:color w:val="000000"/>
        </w:rPr>
        <w:t>文件資訊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708"/>
        <w:gridCol w:w="6145"/>
        <w:gridCol w:w="1880"/>
        <w:gridCol w:w="5970"/>
      </w:tblGrid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專案名稱</w:t>
            </w:r>
          </w:p>
        </w:tc>
        <w:tc>
          <w:tcPr>
            <w:tcW w:w="6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賜昌</w:t>
            </w:r>
            <w:r>
              <w:rPr>
                <w:rFonts w:ascii="微軟正黑體" w:hAnsi="微軟正黑體" w:cs="Microsoft JhengHei UI" w:eastAsia="微軟正黑體"/>
              </w:rPr>
              <w:t>集團</w:t>
            </w:r>
            <w:r>
              <w:rPr>
                <w:rFonts w:eastAsia="微軟正黑體" w:cs="Microsoft JhengHei UI" w:ascii="微軟正黑體" w:hAnsi="微軟正黑體"/>
              </w:rPr>
              <w:t>SAP</w:t>
            </w:r>
            <w:r>
              <w:rPr>
                <w:rFonts w:ascii="微軟正黑體" w:hAnsi="微軟正黑體" w:cs="Microsoft JhengHei UI" w:eastAsia="微軟正黑體"/>
              </w:rPr>
              <w:t>專案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文件版本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V1.0</w:t>
            </w:r>
          </w:p>
        </w:tc>
      </w:tr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腳本編號</w:t>
            </w:r>
          </w:p>
        </w:tc>
        <w:tc>
          <w:tcPr>
            <w:tcW w:w="6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SIT-623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腳本名稱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月結作業</w:t>
            </w:r>
          </w:p>
        </w:tc>
      </w:tr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腳本負責人</w:t>
            </w:r>
          </w:p>
        </w:tc>
        <w:tc>
          <w:tcPr>
            <w:tcW w:w="6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文件製作日期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品牌</w:t>
            </w:r>
          </w:p>
        </w:tc>
        <w:tc>
          <w:tcPr>
            <w:tcW w:w="6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bookmarkStart w:id="0" w:name="bookmark=id.gjdgxs"/>
            <w:bookmarkEnd w:id="0"/>
            <w:r>
              <w:rPr>
                <w:rFonts w:ascii="微軟正黑體" w:hAnsi="微軟正黑體" w:cs="Microsoft JhengHei UI" w:eastAsia="微軟正黑體"/>
              </w:rPr>
              <w:t>範本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相關作業模組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SD</w:t>
            </w:r>
            <w:r>
              <w:rPr>
                <w:rFonts w:ascii="微軟正黑體" w:hAnsi="微軟正黑體" w:cs="Microsoft JhengHei UI" w:eastAsia="微軟正黑體"/>
              </w:rPr>
              <w:t>、</w:t>
            </w:r>
            <w:r>
              <w:rPr>
                <w:rFonts w:eastAsia="微軟正黑體" w:cs="Microsoft JhengHei UI" w:ascii="微軟正黑體" w:hAnsi="微軟正黑體"/>
              </w:rPr>
              <w:t>MM</w:t>
            </w:r>
            <w:r>
              <w:rPr>
                <w:rFonts w:ascii="微軟正黑體" w:hAnsi="微軟正黑體" w:cs="Microsoft JhengHei UI" w:eastAsia="微軟正黑體"/>
              </w:rPr>
              <w:t>、</w:t>
            </w:r>
            <w:r>
              <w:rPr>
                <w:rFonts w:eastAsia="微軟正黑體" w:cs="Microsoft JhengHei UI" w:ascii="微軟正黑體" w:hAnsi="微軟正黑體"/>
              </w:rPr>
              <w:t>PP</w:t>
            </w:r>
            <w:r>
              <w:rPr>
                <w:rFonts w:ascii="微軟正黑體" w:hAnsi="微軟正黑體" w:cs="Microsoft JhengHei UI" w:eastAsia="微軟正黑體"/>
              </w:rPr>
              <w:t>、</w:t>
            </w:r>
            <w:r>
              <w:rPr>
                <w:rFonts w:eastAsia="微軟正黑體" w:cs="Microsoft JhengHei UI" w:ascii="微軟正黑體" w:hAnsi="微軟正黑體"/>
              </w:rPr>
              <w:t>FI</w:t>
            </w:r>
            <w:r>
              <w:rPr>
                <w:rFonts w:ascii="微軟正黑體" w:hAnsi="微軟正黑體" w:cs="Microsoft JhengHei UI" w:eastAsia="微軟正黑體"/>
              </w:rPr>
              <w:t>、</w:t>
            </w:r>
            <w:r>
              <w:rPr>
                <w:rFonts w:eastAsia="微軟正黑體" w:cs="Microsoft JhengHei UI" w:ascii="微軟正黑體" w:hAnsi="微軟正黑體"/>
              </w:rPr>
              <w:t>CO</w:t>
            </w:r>
          </w:p>
        </w:tc>
      </w:tr>
    </w:tbl>
    <w:p>
      <w:pPr>
        <w:pStyle w:val="Normal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</w:r>
    </w:p>
    <w:p>
      <w:pPr>
        <w:pStyle w:val="Normal"/>
        <w:keepNext w:val="true"/>
        <w:numPr>
          <w:ilvl w:val="0"/>
          <w:numId w:val="2"/>
        </w:numPr>
        <w:tabs>
          <w:tab w:val="left" w:pos="720" w:leader="none"/>
        </w:tabs>
        <w:rPr>
          <w:rFonts w:ascii="微軟正黑體" w:hAnsi="微軟正黑體" w:eastAsia="微軟正黑體" w:cs="Microsoft JhengHei UI"/>
          <w:b/>
          <w:color w:val="000000"/>
        </w:rPr>
      </w:pPr>
      <w:r>
        <w:rPr>
          <w:rFonts w:ascii="微軟正黑體" w:hAnsi="微軟正黑體" w:cs="Microsoft JhengHei UI" w:eastAsia="微軟正黑體"/>
          <w:b/>
          <w:color w:val="000000"/>
        </w:rPr>
        <w:t>測試腳本說明</w:t>
      </w:r>
    </w:p>
    <w:p>
      <w:pPr>
        <w:pStyle w:val="Normal"/>
        <w:numPr>
          <w:ilvl w:val="0"/>
          <w:numId w:val="4"/>
        </w:numPr>
        <w:ind w:left="794" w:hanging="397"/>
        <w:rPr>
          <w:rFonts w:ascii="微軟正黑體" w:hAnsi="微軟正黑體" w:eastAsia="微軟正黑體" w:cs="Microsoft JhengHei UI"/>
        </w:rPr>
      </w:pPr>
      <w:r>
        <w:rPr>
          <w:rFonts w:ascii="微軟正黑體" w:hAnsi="微軟正黑體" w:cs="Microsoft JhengHei UI" w:eastAsia="微軟正黑體"/>
        </w:rPr>
        <w:t>測試目的：月結作業</w:t>
      </w:r>
    </w:p>
    <w:p>
      <w:pPr>
        <w:pStyle w:val="Normal"/>
        <w:numPr>
          <w:ilvl w:val="0"/>
          <w:numId w:val="4"/>
        </w:numPr>
        <w:ind w:left="794" w:hanging="397"/>
        <w:rPr>
          <w:rFonts w:ascii="微軟正黑體" w:hAnsi="微軟正黑體" w:eastAsia="微軟正黑體" w:cs="Microsoft JhengHei UI"/>
        </w:rPr>
      </w:pPr>
      <w:r>
        <w:rPr>
          <w:rFonts w:ascii="微軟正黑體" w:hAnsi="微軟正黑體" w:cs="Microsoft JhengHei UI" w:eastAsia="微軟正黑體"/>
        </w:rPr>
        <w:t>各模組測試重點：</w:t>
      </w:r>
    </w:p>
    <w:p>
      <w:pPr>
        <w:pStyle w:val="Normal"/>
        <w:ind w:left="796" w:hanging="0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  <w:t xml:space="preserve">1. </w:t>
      </w:r>
      <w:r>
        <w:rPr>
          <w:rFonts w:ascii="微軟正黑體" w:hAnsi="微軟正黑體" w:cs="Microsoft JhengHei UI" w:eastAsia="微軟正黑體"/>
        </w:rPr>
        <w:t>財務月結</w:t>
      </w:r>
    </w:p>
    <w:p>
      <w:pPr>
        <w:pStyle w:val="Normal"/>
        <w:ind w:left="796" w:hanging="0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  <w:t xml:space="preserve">2. </w:t>
      </w:r>
      <w:r>
        <w:rPr>
          <w:rFonts w:ascii="微軟正黑體" w:hAnsi="微軟正黑體" w:cs="Microsoft JhengHei UI" w:eastAsia="微軟正黑體"/>
        </w:rPr>
        <w:t>工單月結</w:t>
      </w:r>
    </w:p>
    <w:p>
      <w:pPr>
        <w:pStyle w:val="Normal"/>
        <w:ind w:left="796" w:hanging="0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  <w:t xml:space="preserve">3. </w:t>
      </w:r>
      <w:r>
        <w:rPr>
          <w:rFonts w:ascii="微軟正黑體" w:hAnsi="微軟正黑體" w:cs="Microsoft JhengHei UI" w:eastAsia="微軟正黑體"/>
        </w:rPr>
        <w:t>分類帳月結</w:t>
      </w:r>
    </w:p>
    <w:p>
      <w:pPr>
        <w:pStyle w:val="Normal"/>
        <w:ind w:left="796" w:hanging="0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  <w:t xml:space="preserve">4. </w:t>
      </w:r>
      <w:r>
        <w:rPr>
          <w:rFonts w:ascii="微軟正黑體" w:hAnsi="微軟正黑體" w:cs="Microsoft JhengHei UI" w:eastAsia="微軟正黑體"/>
        </w:rPr>
        <w:t>獲利能力分析月結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617"/>
        <w:gridCol w:w="2618"/>
        <w:gridCol w:w="2618"/>
        <w:gridCol w:w="2618"/>
        <w:gridCol w:w="2616"/>
        <w:gridCol w:w="2616"/>
      </w:tblGrid>
      <w:tr>
        <w:trPr/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SD</w:t>
            </w:r>
            <w:r>
              <w:rPr>
                <w:rFonts w:ascii="微軟正黑體" w:hAnsi="微軟正黑體" w:cs="Microsoft JhengHei UI" w:eastAsia="微軟正黑體"/>
              </w:rPr>
              <w:t>模組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MM</w:t>
            </w:r>
            <w:r>
              <w:rPr>
                <w:rFonts w:ascii="微軟正黑體" w:hAnsi="微軟正黑體" w:cs="Microsoft JhengHei UI" w:eastAsia="微軟正黑體"/>
              </w:rPr>
              <w:t>模組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PP</w:t>
            </w:r>
            <w:r>
              <w:rPr>
                <w:rFonts w:ascii="微軟正黑體" w:hAnsi="微軟正黑體" w:cs="Microsoft JhengHei UI" w:eastAsia="微軟正黑體"/>
              </w:rPr>
              <w:t>模組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FI</w:t>
            </w:r>
            <w:r>
              <w:rPr>
                <w:rFonts w:ascii="微軟正黑體" w:hAnsi="微軟正黑體" w:cs="Microsoft JhengHei UI" w:eastAsia="微軟正黑體"/>
              </w:rPr>
              <w:t>模組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CO</w:t>
            </w:r>
            <w:r>
              <w:rPr>
                <w:rFonts w:ascii="微軟正黑體" w:hAnsi="微軟正黑體" w:cs="Microsoft JhengHei UI" w:eastAsia="微軟正黑體"/>
              </w:rPr>
              <w:t>模組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QM</w:t>
            </w:r>
            <w:r>
              <w:rPr>
                <w:rFonts w:ascii="微軟正黑體" w:hAnsi="微軟正黑體" w:cs="Microsoft JhengHei UI" w:eastAsia="微軟正黑體"/>
              </w:rPr>
              <w:t>模組</w:t>
            </w:r>
          </w:p>
        </w:tc>
      </w:tr>
      <w:tr>
        <w:trPr/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 xml:space="preserve">1.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檢查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當月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所有已認列銷貨成本的單據均已完成建立請款單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 xml:space="preserve">1. 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製程外包採購請款標記最後發票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 xml:space="preserve">1.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工單技術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完成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 xml:space="preserve">2.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工單刪除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旗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標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背景排程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)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 xml:space="preserve">1. 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月結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相關作業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 xml:space="preserve">2.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檢查前端單據是否皆已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完成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。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1.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月結相關作業。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2.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檢查前端單據是否皆已完成。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</w:tr>
    </w:tbl>
    <w:p>
      <w:pPr>
        <w:pStyle w:val="Normal"/>
        <w:ind w:left="397" w:hanging="0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</w:r>
    </w:p>
    <w:p>
      <w:pPr>
        <w:pStyle w:val="Normal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</w:r>
      <w:r>
        <w:br w:type="page"/>
      </w:r>
    </w:p>
    <w:p>
      <w:pPr>
        <w:pStyle w:val="Normal"/>
        <w:keepNext w:val="true"/>
        <w:numPr>
          <w:ilvl w:val="0"/>
          <w:numId w:val="2"/>
        </w:numPr>
        <w:tabs>
          <w:tab w:val="left" w:pos="720" w:leader="none"/>
        </w:tabs>
        <w:spacing w:before="0" w:after="0"/>
        <w:rPr>
          <w:rFonts w:ascii="微軟正黑體" w:hAnsi="微軟正黑體" w:eastAsia="微軟正黑體" w:cs="Microsoft JhengHei UI"/>
          <w:b/>
          <w:color w:val="000000"/>
        </w:rPr>
      </w:pPr>
      <w:r>
        <w:rPr>
          <w:rFonts w:ascii="微軟正黑體" w:hAnsi="微軟正黑體" w:cs="Microsoft JhengHei UI" w:eastAsia="微軟正黑體"/>
          <w:b/>
          <w:color w:val="000000"/>
        </w:rPr>
        <w:t>基本資料說明</w:t>
      </w:r>
    </w:p>
    <w:p>
      <w:pPr>
        <w:pStyle w:val="Normal"/>
        <w:ind w:left="360" w:hanging="0"/>
        <w:rPr>
          <w:rFonts w:ascii="微軟正黑體" w:hAnsi="微軟正黑體" w:eastAsia="微軟正黑體" w:cs="Microsoft JhengHei UI"/>
          <w:lang w:eastAsia="zh-TW"/>
        </w:rPr>
      </w:pPr>
      <w:r>
        <w:rPr>
          <w:rFonts w:ascii="微軟正黑體" w:hAnsi="微軟正黑體" w:cs="Microsoft JhengHei UI" w:eastAsia="微軟正黑體"/>
          <w:lang w:eastAsia="zh-TW"/>
        </w:rPr>
        <w:t>先選好接單公司、貿易公司、來料廠。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755"/>
        <w:gridCol w:w="2555"/>
        <w:gridCol w:w="3015"/>
        <w:gridCol w:w="4859"/>
        <w:gridCol w:w="4520"/>
      </w:tblGrid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項次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組織</w:t>
            </w:r>
            <w:r>
              <w:rPr>
                <w:rFonts w:eastAsia="微軟正黑體" w:cs="Microsoft JhengHei UI" w:ascii="微軟正黑體" w:hAnsi="微軟正黑體"/>
                <w:b/>
                <w:color w:val="000000"/>
              </w:rPr>
              <w:t>/</w:t>
            </w: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主檔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值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說明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備註</w:t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營運考量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8999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成本控制範圍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000000"/>
                <w:lang w:val="en-US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DS</w:t>
            </w: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>00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利潤中心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FF0000"/>
                <w:lang w:val="en-US" w:eastAsia="zh-TW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  <w:lang w:val="en-US" w:eastAsia="zh-TW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接單公司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  <w:t>TWXX/</w:t>
            </w:r>
            <w:r>
              <w:rPr>
                <w:rFonts w:ascii="微軟正黑體" w:hAnsi="微軟正黑體" w:cs="Microsoft JhengHei UI" w:eastAsia="微軟正黑體"/>
                <w:color w:val="FF0000"/>
                <w:lang w:eastAsia="zh-TW"/>
              </w:rPr>
              <w:t>印尼</w:t>
            </w:r>
            <w:r>
              <w:rPr>
                <w:rFonts w:eastAsia="微軟正黑體" w:cs="Microsoft JhengHei UI" w:ascii="微軟正黑體" w:hAnsi="微軟正黑體"/>
                <w:color w:val="FF0000"/>
              </w:rPr>
              <w:t>HKXX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貿易公司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  <w:t>HKXX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貿易工廠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FF0000"/>
                <w:lang w:val="en-US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  <w:lang w:val="en-US"/>
              </w:rPr>
              <w:t>TXXX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來料工廠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  <w:t>FXXX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進料工廠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  <w:t>FXXX/NXXX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銷售組織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配銷通路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出貨點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集團客戶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客戶代號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採購組織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供應商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成品料號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原料號碼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沒有灌庫存的料號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)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</w:tbl>
    <w:p>
      <w:pPr>
        <w:pStyle w:val="Normal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</w:r>
      <w:r>
        <w:br w:type="page"/>
      </w:r>
    </w:p>
    <w:p>
      <w:pPr>
        <w:pStyle w:val="Normal"/>
        <w:keepNext w:val="true"/>
        <w:numPr>
          <w:ilvl w:val="0"/>
          <w:numId w:val="2"/>
        </w:numPr>
        <w:tabs>
          <w:tab w:val="left" w:pos="720" w:leader="none"/>
        </w:tabs>
        <w:spacing w:before="0" w:after="0"/>
        <w:rPr>
          <w:rFonts w:ascii="微軟正黑體" w:hAnsi="微軟正黑體" w:eastAsia="微軟正黑體" w:cs="Microsoft JhengHei UI"/>
          <w:b/>
          <w:color w:val="000000"/>
        </w:rPr>
      </w:pPr>
      <w:r>
        <w:rPr>
          <w:rFonts w:ascii="微軟正黑體" w:hAnsi="微軟正黑體" w:cs="Microsoft JhengHei UI" w:eastAsia="微軟正黑體"/>
          <w:b/>
          <w:color w:val="000000"/>
        </w:rPr>
        <w:t>整合測試腳本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602"/>
        <w:gridCol w:w="764"/>
        <w:gridCol w:w="1444"/>
        <w:gridCol w:w="1049"/>
        <w:gridCol w:w="1978"/>
        <w:gridCol w:w="827"/>
        <w:gridCol w:w="2097"/>
        <w:gridCol w:w="2101"/>
        <w:gridCol w:w="1674"/>
        <w:gridCol w:w="1390"/>
        <w:gridCol w:w="1776"/>
      </w:tblGrid>
      <w:tr>
        <w:trPr>
          <w:tblHeader w:val="true"/>
          <w:trHeight w:val="435" w:hRule="atLeast"/>
          <w:cantSplit w:val="true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編號</w:t>
            </w: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模組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測試步驟說明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 xml:space="preserve">系統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交易代碼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部門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組織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輸入資料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產出文件號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>測試者簽名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>日期</w:t>
            </w:r>
            <w:r>
              <w:rPr>
                <w:rFonts w:eastAsia="微軟正黑體" w:cs="Microsoft JhengHei UI" w:ascii="微軟正黑體" w:hAnsi="微軟正黑體"/>
                <w:b/>
                <w:color w:val="000000"/>
                <w:lang w:eastAsia="zh-TW"/>
              </w:rPr>
              <w:t>,</w:t>
            </w: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>時間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b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>必填</w:t>
            </w:r>
            <w:r>
              <w:rPr>
                <w:rFonts w:eastAsia="微軟正黑體" w:cs="Microsoft JhengHei UI" w:ascii="微軟正黑體" w:hAnsi="微軟正黑體"/>
                <w:b/>
                <w:color w:val="000000"/>
                <w:lang w:eastAsia="zh-TW"/>
              </w:rPr>
              <w:t>)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 xml:space="preserve">狀態 </w:t>
            </w:r>
            <w:r>
              <w:rPr>
                <w:rFonts w:eastAsia="微軟正黑體" w:cs="Microsoft JhengHei UI" w:ascii="微軟正黑體" w:hAnsi="微軟正黑體"/>
                <w:b/>
                <w:color w:val="000000"/>
                <w:lang w:eastAsia="zh-TW"/>
              </w:rPr>
              <w:t xml:space="preserve">(OK/NG) 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>問題說明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b/>
                <w:color w:val="000000"/>
                <w:lang w:eastAsia="zh-TW"/>
              </w:rPr>
              <w:t xml:space="preserve">(skip: </w:t>
            </w: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>線外或客製</w:t>
            </w:r>
            <w:r>
              <w:rPr>
                <w:rFonts w:eastAsia="微軟正黑體" w:cs="Microsoft JhengHei UI" w:ascii="微軟正黑體" w:hAnsi="微軟正黑體"/>
                <w:b/>
                <w:color w:val="000000"/>
                <w:lang w:eastAsia="zh-TW"/>
              </w:rPr>
              <w:t>)</w:t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b/>
                <w:color w:val="4472C4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>月結</w:t>
            </w:r>
            <w:r>
              <w:rPr>
                <w:rFonts w:ascii="微軟正黑體" w:hAnsi="微軟正黑體" w:cs="Microsoft JhengHei UI" w:eastAsia="微軟正黑體"/>
                <w:b/>
                <w:color w:val="4472C4"/>
                <w:lang w:eastAsia="zh-TW"/>
              </w:rPr>
              <w:t>前檢核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both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both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驗證生產工單的交易資料並確認其資料的完整性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1.COOIS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strike/>
                <w:color w:val="000000"/>
                <w:lang w:val="en-US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>2.ZPPQ51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ListNumber"/>
              <w:numPr>
                <w:ilvl w:val="0"/>
                <w:numId w:val="0"/>
              </w:numPr>
              <w:suppressAutoHyphens w:val="false"/>
              <w:spacing w:lineRule="atLeast" w:line="240" w:before="120" w:after="240"/>
              <w:ind w:left="1" w:hanging="0"/>
              <w:contextualSpacing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>COOIS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變式：</w:t>
            </w:r>
          </w:p>
          <w:p>
            <w:pPr>
              <w:pStyle w:val="ListNumber"/>
              <w:numPr>
                <w:ilvl w:val="0"/>
                <w:numId w:val="6"/>
              </w:numPr>
              <w:suppressAutoHyphens w:val="false"/>
              <w:spacing w:lineRule="atLeast" w:line="240" w:before="120" w:after="240"/>
              <w:ind w:left="170" w:hanging="170"/>
              <w:contextualSpacing/>
              <w:rPr>
                <w:rFonts w:ascii="微軟正黑體" w:hAnsi="微軟正黑體" w:eastAsia="微軟正黑體" w:cs="Arial"/>
                <w:lang w:eastAsia="zh-TW"/>
              </w:rPr>
            </w:pPr>
            <w:r>
              <w:rPr>
                <w:rFonts w:eastAsia="微軟正黑體" w:cs="Arial" w:ascii="微軟正黑體" w:hAnsi="微軟正黑體"/>
                <w:lang w:eastAsia="zh-TW"/>
              </w:rPr>
              <w:t>CO07</w:t>
            </w:r>
            <w:r>
              <w:rPr>
                <w:rFonts w:ascii="微軟正黑體" w:hAnsi="微軟正黑體" w:cs="Arial" w:eastAsia="微軟正黑體"/>
                <w:lang w:eastAsia="zh-TW"/>
              </w:rPr>
              <w:t>：檢查驗收狀態</w:t>
            </w:r>
            <w:r>
              <w:rPr>
                <w:rFonts w:eastAsia="微軟正黑體" w:cs="Arial" w:ascii="微軟正黑體" w:hAnsi="微軟正黑體"/>
                <w:lang w:eastAsia="zh-TW"/>
              </w:rPr>
              <w:t>(TECO,DLV</w:t>
            </w:r>
            <w:r>
              <w:rPr>
                <w:rFonts w:ascii="微軟正黑體" w:hAnsi="微軟正黑體" w:cs="Arial" w:eastAsia="微軟正黑體"/>
                <w:lang w:eastAsia="zh-TW"/>
              </w:rPr>
              <w:t>未驗收</w:t>
            </w:r>
            <w:r>
              <w:rPr>
                <w:rFonts w:eastAsia="微軟正黑體" w:cs="Arial" w:ascii="微軟正黑體" w:hAnsi="微軟正黑體"/>
                <w:lang w:eastAsia="zh-TW"/>
              </w:rPr>
              <w:t>)</w:t>
            </w:r>
          </w:p>
          <w:p>
            <w:pPr>
              <w:pStyle w:val="ListNumber"/>
              <w:numPr>
                <w:ilvl w:val="0"/>
                <w:numId w:val="6"/>
              </w:numPr>
              <w:suppressAutoHyphens w:val="false"/>
              <w:spacing w:lineRule="atLeast" w:line="240" w:before="120" w:after="240"/>
              <w:ind w:left="170" w:hanging="170"/>
              <w:contextualSpacing/>
              <w:rPr>
                <w:rFonts w:ascii="微軟正黑體" w:hAnsi="微軟正黑體" w:eastAsia="微軟正黑體" w:cs="Arial"/>
                <w:lang w:eastAsia="zh-TW"/>
              </w:rPr>
            </w:pPr>
            <w:r>
              <w:rPr>
                <w:rFonts w:eastAsia="微軟正黑體" w:cs="Arial" w:ascii="微軟正黑體" w:hAnsi="微軟正黑體"/>
                <w:lang w:eastAsia="zh-TW"/>
              </w:rPr>
              <w:t>CO08</w:t>
            </w:r>
            <w:r>
              <w:rPr>
                <w:rFonts w:ascii="微軟正黑體" w:hAnsi="微軟正黑體" w:cs="Arial" w:eastAsia="微軟正黑體"/>
                <w:lang w:eastAsia="zh-TW"/>
              </w:rPr>
              <w:t>：檢查領料狀態</w:t>
            </w:r>
            <w:r>
              <w:rPr>
                <w:rFonts w:eastAsia="微軟正黑體" w:cs="Arial" w:ascii="微軟正黑體" w:hAnsi="微軟正黑體"/>
                <w:lang w:eastAsia="zh-TW"/>
              </w:rPr>
              <w:t>(TECO,DLV</w:t>
            </w:r>
            <w:r>
              <w:rPr>
                <w:rFonts w:ascii="微軟正黑體" w:hAnsi="微軟正黑體" w:cs="Arial" w:eastAsia="微軟正黑體"/>
                <w:lang w:eastAsia="zh-TW"/>
              </w:rPr>
              <w:t>未領料</w:t>
            </w:r>
            <w:r>
              <w:rPr>
                <w:rFonts w:eastAsia="微軟正黑體" w:cs="Arial" w:ascii="微軟正黑體" w:hAnsi="微軟正黑體"/>
                <w:lang w:eastAsia="zh-TW"/>
              </w:rPr>
              <w:t>)</w:t>
            </w:r>
          </w:p>
          <w:p>
            <w:pPr>
              <w:pStyle w:val="ListNumber"/>
              <w:numPr>
                <w:ilvl w:val="0"/>
                <w:numId w:val="6"/>
              </w:numPr>
              <w:suppressAutoHyphens w:val="false"/>
              <w:spacing w:lineRule="atLeast" w:line="240" w:before="120" w:after="240"/>
              <w:ind w:left="170" w:hanging="170"/>
              <w:contextualSpacing/>
              <w:rPr>
                <w:rFonts w:ascii="微軟正黑體" w:hAnsi="微軟正黑體" w:eastAsia="微軟正黑體" w:cs="Arial"/>
                <w:lang w:eastAsia="zh-TW"/>
              </w:rPr>
            </w:pPr>
            <w:r>
              <w:rPr>
                <w:rFonts w:eastAsia="微軟正黑體" w:cs="Arial" w:ascii="微軟正黑體" w:hAnsi="微軟正黑體"/>
                <w:lang w:eastAsia="zh-TW"/>
              </w:rPr>
              <w:t>CO09</w:t>
            </w:r>
            <w:r>
              <w:rPr>
                <w:rFonts w:ascii="微軟正黑體" w:hAnsi="微軟正黑體" w:cs="Arial" w:eastAsia="微軟正黑體"/>
                <w:lang w:eastAsia="zh-TW"/>
              </w:rPr>
              <w:t>：檢查報工狀態</w:t>
            </w:r>
            <w:r>
              <w:rPr>
                <w:rFonts w:eastAsia="微軟正黑體" w:cs="Arial" w:ascii="微軟正黑體" w:hAnsi="微軟正黑體"/>
                <w:lang w:eastAsia="zh-TW"/>
              </w:rPr>
              <w:t>(TECO,DLV</w:t>
            </w:r>
            <w:r>
              <w:rPr>
                <w:rFonts w:ascii="微軟正黑體" w:hAnsi="微軟正黑體" w:cs="Arial" w:eastAsia="微軟正黑體"/>
                <w:lang w:eastAsia="zh-TW"/>
              </w:rPr>
              <w:t>自製工序未報工</w:t>
            </w:r>
            <w:r>
              <w:rPr>
                <w:rFonts w:eastAsia="微軟正黑體" w:cs="Arial" w:ascii="微軟正黑體" w:hAnsi="微軟正黑體"/>
                <w:lang w:eastAsia="zh-TW"/>
              </w:rPr>
              <w:t>CNF)</w:t>
            </w:r>
          </w:p>
          <w:p>
            <w:pPr>
              <w:pStyle w:val="ListNumber"/>
              <w:numPr>
                <w:ilvl w:val="0"/>
                <w:numId w:val="6"/>
              </w:numPr>
              <w:suppressAutoHyphens w:val="false"/>
              <w:spacing w:lineRule="atLeast" w:line="240" w:before="120" w:after="240"/>
              <w:ind w:left="170" w:hanging="170"/>
              <w:contextualSpacing/>
              <w:rPr>
                <w:rFonts w:ascii="微軟正黑體" w:hAnsi="微軟正黑體" w:eastAsia="微軟正黑體" w:cs="Arial"/>
                <w:lang w:eastAsia="zh-TW"/>
              </w:rPr>
            </w:pPr>
            <w:r>
              <w:rPr>
                <w:rFonts w:eastAsia="微軟正黑體" w:cs="Arial" w:ascii="微軟正黑體" w:hAnsi="微軟正黑體"/>
                <w:lang w:eastAsia="zh-TW"/>
              </w:rPr>
              <w:t>CO10</w:t>
            </w:r>
            <w:r>
              <w:rPr>
                <w:rFonts w:ascii="微軟正黑體" w:hAnsi="微軟正黑體" w:cs="Arial" w:eastAsia="微軟正黑體"/>
                <w:lang w:eastAsia="zh-TW"/>
              </w:rPr>
              <w:t>：檢查</w:t>
            </w:r>
            <w:r>
              <w:rPr>
                <w:rFonts w:eastAsia="微軟正黑體" w:cs="Arial" w:ascii="微軟正黑體" w:hAnsi="微軟正黑體"/>
                <w:lang w:eastAsia="zh-TW"/>
              </w:rPr>
              <w:t>MTS</w:t>
            </w:r>
            <w:r>
              <w:rPr>
                <w:rFonts w:ascii="微軟正黑體" w:hAnsi="微軟正黑體" w:cs="Arial" w:eastAsia="微軟正黑體"/>
                <w:lang w:eastAsia="zh-TW"/>
              </w:rPr>
              <w:t>工單領料狀態</w:t>
            </w:r>
            <w:r>
              <w:rPr>
                <w:rFonts w:eastAsia="微軟正黑體" w:cs="Arial" w:ascii="微軟正黑體" w:hAnsi="微軟正黑體"/>
                <w:lang w:eastAsia="zh-TW"/>
              </w:rPr>
              <w:t>(TECO,DLV</w:t>
            </w:r>
            <w:r>
              <w:rPr>
                <w:rFonts w:ascii="微軟正黑體" w:hAnsi="微軟正黑體" w:cs="Arial" w:eastAsia="微軟正黑體"/>
                <w:lang w:eastAsia="zh-TW"/>
              </w:rPr>
              <w:t>未領料</w:t>
            </w:r>
            <w:r>
              <w:rPr>
                <w:rFonts w:eastAsia="微軟正黑體" w:cs="Arial" w:ascii="微軟正黑體" w:hAnsi="微軟正黑體"/>
                <w:lang w:eastAsia="zh-TW"/>
              </w:rPr>
              <w:t>)</w:t>
            </w:r>
          </w:p>
          <w:p>
            <w:pPr>
              <w:pStyle w:val="ListNumber"/>
              <w:numPr>
                <w:ilvl w:val="0"/>
                <w:numId w:val="0"/>
              </w:numPr>
              <w:suppressAutoHyphens w:val="false"/>
              <w:spacing w:lineRule="atLeast" w:line="240" w:before="120" w:after="240"/>
              <w:ind w:left="0" w:hanging="0"/>
              <w:contextualSpacing/>
              <w:rPr>
                <w:rFonts w:ascii="微軟正黑體" w:hAnsi="微軟正黑體" w:eastAsia="微軟正黑體" w:cs="Arial"/>
                <w:lang w:val="en-US" w:eastAsia="zh-TW"/>
              </w:rPr>
            </w:pPr>
            <w:r>
              <w:rPr>
                <w:rFonts w:eastAsia="微軟正黑體" w:cs="Arial" w:ascii="微軟正黑體" w:hAnsi="微軟正黑體"/>
                <w:lang w:val="en-US" w:eastAsia="zh-TW"/>
              </w:rPr>
              <w:t>ZPPQ51</w:t>
            </w:r>
            <w:r>
              <w:rPr>
                <w:rFonts w:ascii="微軟正黑體" w:hAnsi="微軟正黑體" w:cs="Arial" w:eastAsia="微軟正黑體"/>
                <w:lang w:val="en-US" w:eastAsia="zh-TW"/>
              </w:rPr>
              <w:t>變式：</w:t>
            </w:r>
          </w:p>
          <w:p>
            <w:pPr>
              <w:pStyle w:val="ListNumber"/>
              <w:numPr>
                <w:ilvl w:val="0"/>
                <w:numId w:val="0"/>
              </w:numPr>
              <w:suppressAutoHyphens w:val="false"/>
              <w:spacing w:lineRule="atLeast" w:line="240" w:before="120" w:after="240"/>
              <w:ind w:left="361" w:hanging="360"/>
              <w:contextualSpacing/>
              <w:rPr>
                <w:rFonts w:ascii="微軟正黑體" w:hAnsi="微軟正黑體" w:eastAsia="微軟正黑體" w:cs="Arial"/>
                <w:lang w:val="en-US" w:eastAsia="zh-TW"/>
              </w:rPr>
            </w:pPr>
            <w:r>
              <w:rPr>
                <w:rFonts w:eastAsia="微軟正黑體" w:cs="Arial" w:ascii="微軟正黑體" w:hAnsi="微軟正黑體"/>
                <w:lang w:eastAsia="zh-TW"/>
              </w:rPr>
              <w:t>1. PP</w:t>
            </w:r>
            <w:r>
              <w:rPr>
                <w:rFonts w:eastAsia="微軟正黑體" w:cs="Arial" w:ascii="微軟正黑體" w:hAnsi="微軟正黑體"/>
                <w:lang w:val="en-US" w:eastAsia="zh-TW"/>
              </w:rPr>
              <w:t>-SODLV</w:t>
            </w:r>
            <w:r>
              <w:rPr>
                <w:rFonts w:ascii="微軟正黑體" w:hAnsi="微軟正黑體" w:cs="Arial" w:eastAsia="微軟正黑體"/>
                <w:lang w:val="en-US" w:eastAsia="zh-TW"/>
              </w:rPr>
              <w:t>：</w:t>
            </w:r>
            <w:r>
              <w:rPr>
                <w:rFonts w:eastAsia="微軟正黑體" w:cs="Arial" w:ascii="微軟正黑體" w:hAnsi="微軟正黑體"/>
                <w:lang w:val="en-US" w:eastAsia="zh-TW"/>
              </w:rPr>
              <w:t>SO</w:t>
            </w:r>
            <w:r>
              <w:rPr>
                <w:rFonts w:ascii="微軟正黑體" w:hAnsi="微軟正黑體" w:cs="Arial" w:eastAsia="微軟正黑體"/>
                <w:lang w:val="en-US" w:eastAsia="zh-TW"/>
              </w:rPr>
              <w:t>已完成出貨</w:t>
            </w:r>
            <w:r>
              <w:rPr>
                <w:rFonts w:eastAsia="微軟正黑體" w:cs="Arial" w:ascii="微軟正黑體" w:hAnsi="微軟正黑體"/>
                <w:lang w:val="en-US" w:eastAsia="zh-TW"/>
              </w:rPr>
              <w:t>,</w:t>
            </w:r>
            <w:r>
              <w:rPr>
                <w:rFonts w:ascii="微軟正黑體" w:hAnsi="微軟正黑體" w:cs="Arial" w:eastAsia="微軟正黑體"/>
                <w:lang w:val="en-US" w:eastAsia="zh-TW"/>
              </w:rPr>
              <w:t>尚未</w:t>
            </w:r>
            <w:r>
              <w:rPr>
                <w:rFonts w:eastAsia="微軟正黑體" w:cs="Arial" w:ascii="微軟正黑體" w:hAnsi="微軟正黑體"/>
                <w:lang w:val="en-US" w:eastAsia="zh-TW"/>
              </w:rPr>
              <w:t>TECO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檢視</w:t>
            </w: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>5</w:t>
            </w: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個變式皆無異常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處理生產訂單確認中，與成本相關的「活動過帳」錯誤。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COFC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工廠：</w:t>
            </w:r>
          </w:p>
          <w:p>
            <w:pPr>
              <w:pStyle w:val="ListNumber"/>
              <w:numPr>
                <w:ilvl w:val="0"/>
                <w:numId w:val="0"/>
              </w:numPr>
              <w:suppressAutoHyphens w:val="false"/>
              <w:spacing w:lineRule="atLeast" w:line="240" w:before="120" w:after="240"/>
              <w:ind w:left="0" w:hanging="0"/>
              <w:contextualSpacing/>
              <w:rPr>
                <w:rFonts w:ascii="微軟正黑體" w:hAnsi="微軟正黑體" w:eastAsia="微軟正黑體" w:cs="Arial"/>
                <w:lang w:eastAsia="zh-TW"/>
              </w:rPr>
            </w:pPr>
            <w:r>
              <w:rPr>
                <w:rFonts w:eastAsia="微軟正黑體" w:cs="Arial" w:ascii="微軟正黑體" w:hAnsi="微軟正黑體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Arial" w:eastAsia="微軟正黑體"/>
                <w:lang w:eastAsia="zh-TW"/>
              </w:rPr>
              <w:t>需確認無任何錯誤紀錄。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處理生產訂單確認中，與庫存相關的「物料過帳」錯誤。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COGI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ListNumber"/>
              <w:numPr>
                <w:ilvl w:val="0"/>
                <w:numId w:val="0"/>
              </w:numPr>
              <w:suppressAutoHyphens w:val="false"/>
              <w:spacing w:lineRule="atLeast" w:line="240" w:before="120" w:after="240"/>
              <w:ind w:left="1" w:hanging="0"/>
              <w:contextualSpacing/>
              <w:rPr>
                <w:rFonts w:ascii="微軟正黑體" w:hAnsi="微軟正黑體" w:eastAsia="微軟正黑體" w:cs="Arial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工廠：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Arial" w:eastAsia="微軟正黑體"/>
                <w:lang w:eastAsia="zh-TW"/>
              </w:rPr>
              <w:t>需確認無任何錯誤紀錄。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處理「工時活動」資料。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CO1P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>N/A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ListNumber"/>
              <w:numPr>
                <w:ilvl w:val="0"/>
                <w:numId w:val="0"/>
              </w:numPr>
              <w:suppressAutoHyphens w:val="false"/>
              <w:spacing w:lineRule="atLeast" w:line="240" w:before="120" w:after="240"/>
              <w:ind w:left="1" w:hanging="0"/>
              <w:contextualSpacing/>
              <w:jc w:val="both"/>
              <w:rPr>
                <w:rFonts w:ascii="微軟正黑體" w:hAnsi="微軟正黑體" w:eastAsia="微軟正黑體" w:cs="Arial"/>
                <w:lang w:val="en-US" w:eastAsia="zh-TW"/>
              </w:rPr>
            </w:pPr>
            <w:r>
              <w:rPr>
                <w:rFonts w:ascii="微軟正黑體" w:hAnsi="微軟正黑體" w:cs="Arial" w:eastAsia="微軟正黑體"/>
                <w:lang w:eastAsia="zh-TW"/>
              </w:rPr>
              <w:t>需將工單貼至</w:t>
            </w:r>
            <w:r>
              <w:rPr>
                <w:rFonts w:eastAsia="微軟正黑體" w:cs="Arial" w:ascii="微軟正黑體" w:hAnsi="微軟正黑體"/>
                <w:lang w:val="en-US" w:eastAsia="zh-TW"/>
              </w:rPr>
              <w:t>COOIS</w:t>
            </w:r>
            <w:r>
              <w:rPr>
                <w:rFonts w:ascii="微軟正黑體" w:hAnsi="微軟正黑體" w:cs="Arial" w:eastAsia="微軟正黑體"/>
                <w:lang w:val="en-US" w:eastAsia="zh-TW"/>
              </w:rPr>
              <w:t>檢視工廠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ListNumber"/>
              <w:numPr>
                <w:ilvl w:val="0"/>
                <w:numId w:val="0"/>
              </w:numPr>
              <w:suppressAutoHyphens w:val="false"/>
              <w:spacing w:lineRule="atLeast" w:line="240" w:before="120" w:after="240"/>
              <w:ind w:left="1" w:hanging="0"/>
              <w:contextualSpacing/>
              <w:jc w:val="both"/>
              <w:rPr>
                <w:rFonts w:ascii="微軟正黑體" w:hAnsi="微軟正黑體" w:eastAsia="微軟正黑體" w:cs="Arial"/>
                <w:lang w:eastAsia="zh-TW"/>
              </w:rPr>
            </w:pPr>
            <w:r>
              <w:rPr>
                <w:rFonts w:ascii="微軟正黑體" w:hAnsi="微軟正黑體" w:cs="Arial" w:eastAsia="微軟正黑體"/>
                <w:lang w:eastAsia="zh-TW"/>
              </w:rPr>
              <w:t>需確認無任何錯誤紀錄。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通知前端所有料號領用及異動即將截止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線外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/Mail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N/A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ListNumber"/>
              <w:numPr>
                <w:ilvl w:val="0"/>
                <w:numId w:val="0"/>
              </w:numPr>
              <w:suppressAutoHyphens w:val="false"/>
              <w:spacing w:lineRule="atLeast" w:line="240" w:before="120" w:after="240"/>
              <w:ind w:left="361" w:hanging="360"/>
              <w:contextualSpacing/>
              <w:rPr>
                <w:rFonts w:ascii="微軟正黑體" w:hAnsi="微軟正黑體" w:eastAsia="微軟正黑體" w:cs="Arial"/>
                <w:lang w:eastAsia="zh-TW"/>
              </w:rPr>
            </w:pPr>
            <w:r>
              <w:rPr>
                <w:rFonts w:eastAsia="微軟正黑體" w:cs="Arial" w:ascii="微軟正黑體" w:hAnsi="微軟正黑體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開啟次月料號異動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MMPV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總公司會計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貿易公司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來料公司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進料公司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接單公司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公司代碼：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檢查上月物料帳是否開啟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MMRV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總公司會計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貿易公司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來料公司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進料公司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接單公司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公司代碼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進行上月物料異動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允許工廠在月結第一天中午前把單據補完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線外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/Mail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N/A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bCs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bCs/>
                <w:color w:val="000000"/>
                <w:lang w:eastAsia="zh-TW"/>
              </w:rPr>
              <w:t>物料帳關帳期間設定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GS02</w:t>
            </w:r>
          </w:p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總公司會計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>N/A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設定名稱：</w:t>
            </w: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>Z07/Z09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修改至數值：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YYYY/MM/DD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bCs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bCs/>
                <w:color w:val="000000"/>
                <w:lang w:eastAsia="zh-TW"/>
              </w:rPr>
              <w:t>物料帳關帳工廠設定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GS02</w:t>
            </w:r>
          </w:p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廠會計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/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來料廠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進料廠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代工廠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設定名稱：</w:t>
            </w: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>Z08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加入開始值：工廠代號。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FI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維護匯率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次月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/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次期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OB08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匯率類型：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幣別：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SD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檢查公司間交易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Invoice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報表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ZSD045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接單公司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銷售組織：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eastAsia="微軟正黑體" w:cs="Microsoft JhengHei UI" w:ascii="微軟正黑體" w:hAnsi="微軟正黑體"/>
                <w:color w:val="0070C0"/>
                <w:lang w:eastAsia="zh-TW"/>
              </w:rPr>
              <w:t>*</w:t>
            </w:r>
            <w:r>
              <w:rPr>
                <w:rFonts w:ascii="微軟正黑體" w:hAnsi="微軟正黑體" w:cs="Microsoft JhengHei UI" w:eastAsia="微軟正黑體"/>
                <w:color w:val="0070C0"/>
                <w:lang w:eastAsia="zh-TW"/>
              </w:rPr>
              <w:t>程式調整中，</w:t>
            </w:r>
            <w:r>
              <w:rPr>
                <w:rFonts w:eastAsia="微軟正黑體" w:cs="Microsoft JhengHei UI" w:ascii="微軟正黑體" w:hAnsi="微軟正黑體"/>
                <w:color w:val="0070C0"/>
                <w:lang w:eastAsia="zh-TW"/>
              </w:rPr>
              <w:t>SIT1</w:t>
            </w:r>
            <w:r>
              <w:rPr>
                <w:rFonts w:ascii="微軟正黑體" w:hAnsi="微軟正黑體" w:cs="Microsoft JhengHei UI" w:eastAsia="微軟正黑體"/>
                <w:color w:val="0070C0"/>
                <w:lang w:eastAsia="zh-TW"/>
              </w:rPr>
              <w:t>跳過</w:t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FI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檢查是否有已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PGI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未產生請款文件的資料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VF04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來料公司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/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進料公司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貿易公司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銷售組織：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FI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檢查是否有已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PGI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未產生請款文件的資料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VF04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接單公司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銷售組織：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TW</w:t>
            </w: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>XX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FI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檢查是否有已產生請款文件未產生會計文件的資料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VFX3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來料公司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/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進料公司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貿易公司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銷售組織：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FI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檢查是否有已產生請款文件未產生會計文件的資料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VFX3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接單公司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銷售組織：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TWXX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FI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關係人往來帳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F-02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總公司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公司代碼：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利潤中心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FI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檢查是否有已暫存發票驗證文件尚未過帳的資料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MIR6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來料公司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貿易公司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接單公司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FI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估列傳票入帳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ZFI005A/</w:t>
            </w:r>
          </w:p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ZFI005B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來料公司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貿易公司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接單公司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公司代碼：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FI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次月迴轉估列傳票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ZFI005A/</w:t>
            </w:r>
          </w:p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ZFI005B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來料公司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貿易公司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接單公司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公司代碼：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會計文件號碼：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年度：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FI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檢查是否有已暫存但尚未過帳的會計文件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FBV0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來料公司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貿易公司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接單公司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764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FI</w:t>
            </w:r>
          </w:p>
        </w:tc>
        <w:tc>
          <w:tcPr>
            <w:tcW w:w="1444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折舊模擬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人工試跑折舊模擬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 xml:space="preserve">, 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確認折舊金額不要差異太大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</w:p>
        </w:tc>
        <w:tc>
          <w:tcPr>
            <w:tcW w:w="1049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 xml:space="preserve">人工或 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AR18N</w:t>
            </w:r>
          </w:p>
        </w:tc>
        <w:tc>
          <w:tcPr>
            <w:tcW w:w="8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財務</w:t>
            </w:r>
          </w:p>
        </w:tc>
        <w:tc>
          <w:tcPr>
            <w:tcW w:w="209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來料公司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貿易公司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接單公司</w:t>
            </w:r>
          </w:p>
        </w:tc>
        <w:tc>
          <w:tcPr>
            <w:tcW w:w="21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674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FI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折舊過帳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AFAB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來料公司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貿易公司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接單公司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FI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折舊查詢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AFBP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來料公司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貿易公司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接單公司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FI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折舊金額核對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S_ALR_87010175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來料公司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貿易公司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接單公司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FI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檢查利潤中心列管資產科目是否有餘額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FAGLL03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所有有資產的公司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EE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EE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EE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EE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EE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EE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微軟正黑體" w:hAnsi="微軟正黑體" w:eastAsia="微軟正黑體" w:cs="Microsoft JhengHei UI"/>
                <w:color w:themeColor="accent1" w:val="4472C4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themeColor="accent1" w:val="4472C4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themeColor="accent1" w:val="4472C4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themeColor="accent1" w:val="4472C4"/>
                <w:lang w:eastAsia="zh-TW"/>
              </w:rPr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themeColor="accent1" w:val="4472C4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b/>
                <w:color w:themeColor="accent1" w:val="4472C4"/>
              </w:rPr>
              <w:t>財務月結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themeColor="accent1" w:val="4472C4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themeColor="accent1" w:val="4472C4"/>
                <w:lang w:eastAsia="zh-TW"/>
              </w:rPr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themeColor="accent1" w:val="4472C4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themeColor="accent1" w:val="4472C4"/>
                <w:lang w:eastAsia="zh-TW"/>
              </w:rPr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themeColor="accent1" w:val="4472C4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themeColor="accent1" w:val="4472C4"/>
                <w:lang w:eastAsia="zh-TW"/>
              </w:rPr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themeColor="accent1" w:val="4472C4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themeColor="accent1" w:val="4472C4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themeColor="accent1" w:val="4472C4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themeColor="accent1" w:val="4472C4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themeColor="accent1" w:val="4472C4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themeColor="accent1" w:val="4472C4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themeColor="accent1" w:val="4472C4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themeColor="accent1" w:val="4472C4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themeColor="accent1" w:val="4472C4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themeColor="accent1" w:val="4472C4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  <w:lang w:eastAsia="zh-TW"/>
              </w:rPr>
              <w:t>工單月結</w:t>
            </w:r>
            <w:r>
              <w:rPr>
                <w:rFonts w:eastAsia="微軟正黑體" w:cs="Microsoft JhengHei UI" w:ascii="微軟正黑體" w:hAnsi="微軟正黑體"/>
                <w:b/>
                <w:color w:val="FF011B"/>
                <w:lang w:eastAsia="zh-TW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b/>
                <w:color w:val="EE0000"/>
                <w:lang w:eastAsia="zh-TW"/>
              </w:rPr>
              <w:t>要提前準備工單並做到</w:t>
            </w:r>
            <w:r>
              <w:rPr>
                <w:rFonts w:eastAsia="Microsoft JhengHei UI" w:cs="Microsoft JhengHei UI" w:ascii="Microsoft JhengHei UI" w:hAnsi="Microsoft JhengHei UI"/>
                <w:b/>
                <w:color w:val="EE0000"/>
                <w:lang w:eastAsia="zh-TW"/>
              </w:rPr>
              <w:t>TECO)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工單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WIP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計算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1.KKAX(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個別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 xml:space="preserve">2.KKAO( 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彙總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工廠：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會計年度：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期間：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執行結果：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工單差異計算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1.KKS2(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個別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 xml:space="preserve">2.KKS1( 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彙總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工廠：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會計年度：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期間：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執行結果：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工單結算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1.KO88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個別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2.CO88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H(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彙總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工廠：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會計年度：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期間：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執行結果：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檢查生產工單結算結果，工單餘額是否結清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ListNumber"/>
              <w:numPr>
                <w:ilvl w:val="0"/>
                <w:numId w:val="7"/>
              </w:numPr>
              <w:suppressAutoHyphens w:val="false"/>
              <w:spacing w:lineRule="atLeast" w:line="240" w:before="120" w:after="240"/>
              <w:ind w:left="170" w:hanging="170"/>
              <w:contextualSpacing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ZCOZ007</w:t>
            </w:r>
          </w:p>
          <w:p>
            <w:pPr>
              <w:pStyle w:val="ListNumber"/>
              <w:numPr>
                <w:ilvl w:val="0"/>
                <w:numId w:val="7"/>
              </w:numPr>
              <w:suppressAutoHyphens w:val="false"/>
              <w:spacing w:lineRule="atLeast" w:line="240" w:before="120" w:after="240"/>
              <w:ind w:left="170" w:hanging="170"/>
              <w:contextualSpacing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S_ALR_87013127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工廠：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檢核結果：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如果有錯誤，需從</w:t>
            </w: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>KKAX-&gt;KKS2-&gt;KO88</w:t>
            </w: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處理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檢查在製品金額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ListNumber"/>
              <w:numPr>
                <w:ilvl w:val="0"/>
                <w:numId w:val="8"/>
              </w:numPr>
              <w:suppressAutoHyphens w:val="false"/>
              <w:spacing w:lineRule="atLeast" w:line="240" w:before="120" w:after="240"/>
              <w:ind w:left="170" w:hanging="170"/>
              <w:contextualSpacing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KKAQ</w:t>
            </w:r>
          </w:p>
          <w:p>
            <w:pPr>
              <w:pStyle w:val="ListNumber"/>
              <w:numPr>
                <w:ilvl w:val="0"/>
                <w:numId w:val="8"/>
              </w:numPr>
              <w:suppressAutoHyphens w:val="false"/>
              <w:spacing w:lineRule="atLeast" w:line="240" w:before="120" w:after="240"/>
              <w:ind w:left="170" w:hanging="170"/>
              <w:contextualSpacing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F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AGLL03H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KKAQ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工廠：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會計年度：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期間：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>FAGLL03H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工廠：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會計科目：</w:t>
            </w:r>
            <w:r>
              <w:rPr>
                <w:rFonts w:eastAsia="微軟正黑體" w:ascii="微軟正黑體" w:hAnsi="微軟正黑體"/>
                <w:lang w:eastAsia="zh-TW"/>
              </w:rPr>
              <w:t>13010003(</w:t>
            </w:r>
            <w:r>
              <w:rPr>
                <w:rFonts w:ascii="微軟正黑體" w:hAnsi="微軟正黑體" w:eastAsia="微軟正黑體"/>
                <w:lang w:eastAsia="zh-TW"/>
              </w:rPr>
              <w:t>在製品</w:t>
            </w:r>
            <w:r>
              <w:rPr>
                <w:rFonts w:eastAsia="微軟正黑體" w:ascii="微軟正黑體" w:hAnsi="微軟正黑體"/>
                <w:lang w:eastAsia="zh-TW"/>
              </w:rPr>
              <w:t>-</w:t>
            </w:r>
            <w:r>
              <w:rPr>
                <w:rFonts w:ascii="微軟正黑體" w:hAnsi="微軟正黑體" w:eastAsia="微軟正黑體"/>
                <w:lang w:eastAsia="zh-TW"/>
              </w:rPr>
              <w:t>工單</w:t>
            </w:r>
            <w:r>
              <w:rPr>
                <w:rFonts w:eastAsia="微軟正黑體" w:ascii="微軟正黑體" w:hAnsi="微軟正黑體"/>
                <w:lang w:eastAsia="zh-TW"/>
              </w:rPr>
              <w:t>)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ascii="微軟正黑體" w:hAnsi="微軟正黑體" w:eastAsia="微軟正黑體"/>
                <w:lang w:eastAsia="zh-TW"/>
              </w:rPr>
              <w:t>過帳日期：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檢核結果：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trHeight w:val="272" w:hRule="atLeast"/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b/>
                <w:color w:val="4472C4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>成本中心費用分配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微軟正黑體 Light"/>
                <w:color w:val="000000"/>
                <w:lang w:eastAsia="zh-TW"/>
              </w:rPr>
            </w:pPr>
            <w:r>
              <w:rPr>
                <w:rFonts w:eastAsia="微軟正黑體" w:cs="微軟正黑體 Light" w:ascii="微軟正黑體" w:hAnsi="微軟正黑體"/>
                <w:color w:val="000000"/>
                <w:lang w:eastAsia="zh-TW"/>
              </w:rPr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檢查製造費用是否全數入帳</w:t>
            </w: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包含薪資</w:t>
            </w: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>/</w:t>
            </w: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折舊</w:t>
            </w: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>)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ListNumber"/>
              <w:numPr>
                <w:ilvl w:val="0"/>
                <w:numId w:val="0"/>
              </w:numPr>
              <w:suppressAutoHyphens w:val="false"/>
              <w:spacing w:lineRule="atLeast" w:line="240" w:before="120" w:after="240"/>
              <w:ind w:left="0" w:hanging="0"/>
              <w:contextualSpacing/>
              <w:rPr>
                <w:rFonts w:ascii="微軟正黑體" w:hAnsi="微軟正黑體" w:eastAsia="微軟正黑體" w:cs="Microsoft JhengHei UI"/>
                <w:color w:themeColor="text1"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S_ALR_87013611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貿易公司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來料公司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進料公司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會計年度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期間：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版本：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成本中心群組：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成本要素：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檢查成本中心費用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製造費用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會計科目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5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開頭的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不可入帳到銷管研的部門。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營業費用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會計科目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6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開頭的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不可入帳到製造的部門。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ListNumber"/>
              <w:numPr>
                <w:ilvl w:val="0"/>
                <w:numId w:val="9"/>
              </w:numPr>
              <w:suppressAutoHyphens w:val="false"/>
              <w:spacing w:lineRule="atLeast" w:line="240" w:before="120" w:after="240"/>
              <w:ind w:left="0" w:hanging="0"/>
              <w:contextualSpacing/>
              <w:rPr>
                <w:rFonts w:ascii="微軟正黑體" w:hAnsi="微軟正黑體" w:eastAsia="微軟正黑體" w:cs="Microsoft JhengHei UI"/>
                <w:color w:themeColor="text1"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  <w:lang w:eastAsia="zh-TW"/>
              </w:rPr>
              <w:t>S_ALR_87013611</w:t>
            </w:r>
          </w:p>
          <w:p>
            <w:pPr>
              <w:pStyle w:val="ListNumber"/>
              <w:numPr>
                <w:ilvl w:val="0"/>
                <w:numId w:val="9"/>
              </w:numPr>
              <w:suppressAutoHyphens w:val="false"/>
              <w:spacing w:lineRule="atLeast" w:line="240" w:before="120" w:after="240"/>
              <w:ind w:left="0" w:hanging="0"/>
              <w:contextualSpacing/>
              <w:rPr>
                <w:rFonts w:ascii="微軟正黑體" w:hAnsi="微軟正黑體" w:eastAsia="微軟正黑體" w:cs="Microsoft JhengHei UI"/>
                <w:color w:themeColor="text1"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  <w:lang w:eastAsia="zh-TW"/>
              </w:rPr>
              <w:t>ZQFI0001[</w:t>
            </w:r>
            <w:r>
              <w:rPr>
                <w:rFonts w:ascii="微軟正黑體" w:hAnsi="微軟正黑體" w:cs="Microsoft JhengHei UI" w:eastAsia="微軟正黑體"/>
                <w:color w:themeColor="text1" w:val="000000"/>
                <w:lang w:eastAsia="zh-TW"/>
              </w:rPr>
              <w:t>集團幣</w:t>
            </w:r>
            <w:r>
              <w:rPr>
                <w:rFonts w:eastAsia="微軟正黑體" w:cs="Microsoft JhengHei UI" w:ascii="微軟正黑體" w:hAnsi="微軟正黑體"/>
                <w:color w:themeColor="text1" w:val="000000"/>
                <w:lang w:eastAsia="zh-TW"/>
              </w:rPr>
              <w:t>]</w:t>
            </w:r>
          </w:p>
          <w:p>
            <w:pPr>
              <w:pStyle w:val="ListNumber"/>
              <w:numPr>
                <w:ilvl w:val="0"/>
                <w:numId w:val="9"/>
              </w:numPr>
              <w:suppressAutoHyphens w:val="false"/>
              <w:spacing w:lineRule="atLeast" w:line="240" w:before="120" w:after="240"/>
              <w:ind w:left="0" w:hanging="0"/>
              <w:contextualSpacing/>
              <w:rPr>
                <w:rFonts w:ascii="微軟正黑體" w:hAnsi="微軟正黑體" w:eastAsia="微軟正黑體" w:cs="Microsoft JhengHei UI"/>
                <w:color w:themeColor="text1"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  <w:lang w:eastAsia="zh-TW"/>
              </w:rPr>
              <w:t>ZQFI0002[</w:t>
            </w:r>
            <w:r>
              <w:rPr>
                <w:rFonts w:ascii="微軟正黑體" w:hAnsi="微軟正黑體" w:cs="Microsoft JhengHei UI" w:eastAsia="微軟正黑體"/>
                <w:color w:themeColor="text1" w:val="000000"/>
                <w:lang w:eastAsia="zh-TW"/>
              </w:rPr>
              <w:t>本幣</w:t>
            </w:r>
            <w:r>
              <w:rPr>
                <w:rFonts w:eastAsia="微軟正黑體" w:cs="Microsoft JhengHei UI" w:ascii="微軟正黑體" w:hAnsi="微軟正黑體"/>
                <w:color w:themeColor="text1" w:val="000000"/>
                <w:lang w:eastAsia="zh-TW"/>
              </w:rPr>
              <w:t>]</w:t>
            </w:r>
          </w:p>
          <w:p>
            <w:pPr>
              <w:pStyle w:val="ListNumber"/>
              <w:numPr>
                <w:ilvl w:val="0"/>
                <w:numId w:val="9"/>
              </w:numPr>
              <w:suppressAutoHyphens w:val="false"/>
              <w:spacing w:lineRule="atLeast" w:line="240" w:before="120" w:after="240"/>
              <w:ind w:left="0" w:hanging="0"/>
              <w:contextualSpacing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  <w:lang w:eastAsia="zh-TW"/>
              </w:rPr>
              <w:t>GR55-HF21[</w:t>
            </w:r>
            <w:r>
              <w:rPr>
                <w:rFonts w:ascii="微軟正黑體" w:hAnsi="微軟正黑體" w:cs="Microsoft JhengHei UI" w:eastAsia="微軟正黑體"/>
                <w:color w:themeColor="text1" w:val="000000"/>
                <w:lang w:eastAsia="zh-TW"/>
              </w:rPr>
              <w:t>費用明細表</w:t>
            </w:r>
            <w:r>
              <w:rPr>
                <w:rFonts w:eastAsia="微軟正黑體" w:cs="Microsoft JhengHei UI" w:ascii="微軟正黑體" w:hAnsi="微軟正黑體"/>
                <w:color w:themeColor="text1" w:val="000000"/>
                <w:lang w:eastAsia="zh-TW"/>
              </w:rPr>
              <w:t>]</w:t>
            </w:r>
          </w:p>
          <w:p>
            <w:pPr>
              <w:pStyle w:val="ListNumber"/>
              <w:numPr>
                <w:ilvl w:val="0"/>
                <w:numId w:val="9"/>
              </w:numPr>
              <w:suppressAutoHyphens w:val="false"/>
              <w:spacing w:lineRule="atLeast" w:line="240" w:before="120" w:after="240"/>
              <w:ind w:left="0" w:hanging="0"/>
              <w:contextualSpacing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>ZCOZ007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成本中心群組：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成本要素：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會計年度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期間：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版本：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FI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</w:t>
            </w: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>: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貿易廠同步當月份來料廠的所有製造直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/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間接費用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印尼</w:t>
            </w: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>: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進料廠同步當月份貿易廠的所有製造直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/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間接費用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微軟正黑體 Light"/>
                <w:color w:val="000000"/>
              </w:rPr>
            </w:pPr>
            <w:r>
              <w:rPr>
                <w:rFonts w:eastAsia="微軟正黑體" w:cs="微軟正黑體 Light" w:ascii="微軟正黑體" w:hAnsi="微軟正黑體"/>
                <w:color w:val="000000"/>
              </w:rPr>
              <w:t>ZCO003F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 xml:space="preserve">來料公司 </w:t>
            </w: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 xml:space="preserve">to 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貿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易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 xml:space="preserve">貿易公司 </w:t>
            </w: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 xml:space="preserve">to </w:t>
            </w: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進料公司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過帳期間：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同步週期：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會計文件號碼：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微軟正黑體"/>
                <w:lang w:val="en-US"/>
              </w:rPr>
            </w:pPr>
            <w:r>
              <w:rPr>
                <w:rFonts w:eastAsia="微軟正黑體" w:cs="微軟正黑體" w:ascii="微軟正黑體" w:hAnsi="微軟正黑體"/>
                <w:lang w:val="en-US"/>
              </w:rPr>
              <w:t>FI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檢視製造費用抄寫傳票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val="en-US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val="en-US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微軟正黑體 Light"/>
                <w:color w:val="000000"/>
              </w:rPr>
            </w:pPr>
            <w:r>
              <w:rPr>
                <w:rFonts w:eastAsia="微軟正黑體" w:cs="微軟正黑體 Light" w:ascii="微軟正黑體" w:hAnsi="微軟正黑體"/>
                <w:color w:val="000000"/>
              </w:rPr>
              <w:t>FB03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來料公司</w:t>
            </w: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>/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貿易公司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貿易公司</w:t>
            </w: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>/</w:t>
            </w: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進料公司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發送方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會計文件號碼：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公司代碼：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接收方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會計文件號碼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公司代碼：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越南：檢查</w:t>
            </w: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>VN</w:t>
            </w: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公司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製造費用是否</w:t>
            </w: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>=0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印尼：檢查</w:t>
            </w: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貿易公司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製造費用是否</w:t>
            </w: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>=0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ListNumber"/>
              <w:numPr>
                <w:ilvl w:val="0"/>
                <w:numId w:val="0"/>
              </w:numPr>
              <w:suppressAutoHyphens w:val="false"/>
              <w:spacing w:lineRule="atLeast" w:line="240" w:before="120" w:after="240"/>
              <w:ind w:left="0" w:hanging="0"/>
              <w:contextualSpacing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>1.ZCOZ007</w:t>
            </w:r>
          </w:p>
          <w:p>
            <w:pPr>
              <w:pStyle w:val="ListNumber"/>
              <w:numPr>
                <w:ilvl w:val="0"/>
                <w:numId w:val="0"/>
              </w:numPr>
              <w:suppressAutoHyphens w:val="false"/>
              <w:spacing w:lineRule="atLeast" w:line="240" w:before="120" w:after="240"/>
              <w:ind w:left="0" w:hanging="0"/>
              <w:contextualSpacing/>
              <w:rPr>
                <w:rFonts w:ascii="微軟正黑體" w:hAnsi="微軟正黑體" w:eastAsia="微軟正黑體" w:cs="Microsoft JhengHei UI"/>
                <w:color w:themeColor="text1"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2.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S_ALR_87013611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越南：來料廠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印尼：貿易公司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會計年度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期間：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版本：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成本中心群組：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成本要素：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檢查費用分配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Excel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分攤規則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Excel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Excel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b/>
                <w:bCs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b/>
                <w:bCs/>
                <w:color w:val="000000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檢查分配比例主檔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1.KK01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2.KK02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3.KAK3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統計關鍵值：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維護實際分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配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比例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1.KB31N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微軟正黑體 Light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2.KB33N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統計關鍵值文件號碼：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檢查成本中心群組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1.KSH1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2.KSH2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3.KSH3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成本中心群組：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檢查成本要素群組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1.KAH1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2.KAH2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微軟正黑體 Light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3.KAH3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成本要素群組：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檢查費用分配邏輯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1.KSV1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2.KSV2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微軟正黑體 Light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3.KSV3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分配週期：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執行費用分配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KSV5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</w:rPr>
              <w:t>廠會計</w:t>
            </w:r>
            <w:r>
              <w:rPr>
                <w:rFonts w:eastAsia="微軟正黑體" w:cs="Microsoft JhengHei UI" w:ascii="微軟正黑體" w:hAnsi="微軟正黑體"/>
              </w:rPr>
              <w:t>/</w:t>
            </w: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分配週期：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期間：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會計文件號碼：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檢查成本中心費用分配結果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S_ALR_87013611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廠會計</w:t>
            </w:r>
            <w:r>
              <w:rPr>
                <w:rFonts w:eastAsia="微軟正黑體" w:cs="Microsoft JhengHei UI" w:ascii="微軟正黑體" w:hAnsi="微軟正黑體"/>
              </w:rPr>
              <w:t>/</w:t>
            </w: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會計年度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期間</w:t>
            </w: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版本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成本中心群組</w:t>
            </w: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檢查會計文件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1.FB03</w:t>
            </w:r>
          </w:p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微軟正黑體 Light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2.FAGL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L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03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</w:rPr>
              <w:t>廠會計</w:t>
            </w:r>
            <w:r>
              <w:rPr>
                <w:rFonts w:eastAsia="微軟正黑體" w:cs="Microsoft JhengHei UI" w:ascii="微軟正黑體" w:hAnsi="微軟正黑體"/>
              </w:rPr>
              <w:t>/</w:t>
            </w: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會計文件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號碼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b/>
                <w:color w:val="4472C4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>成本中心費用分攤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檢查費用分攤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Excel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分攤規則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Excel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Excel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/</w:t>
            </w: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檢查</w:t>
            </w:r>
            <w:r>
              <w:rPr>
                <w:rFonts w:ascii="微軟正黑體" w:hAnsi="微軟正黑體" w:eastAsia="微軟正黑體"/>
                <w:lang w:eastAsia="zh-TW"/>
              </w:rPr>
              <w:t>成本中心費用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S_ALR_87013611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會計年度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期間：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版本：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成本中心群組：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成本要素：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檢查成本中心群組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1.KSH1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2.KSH2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廠會計</w:t>
            </w:r>
            <w:r>
              <w:rPr>
                <w:rFonts w:eastAsia="微軟正黑體" w:cs="Microsoft JhengHei UI" w:ascii="微軟正黑體" w:hAnsi="微軟正黑體"/>
              </w:rPr>
              <w:t>/</w:t>
            </w: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成本中心群組：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檢查成本要素群組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1.KAH1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2.KAH2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廠會計</w:t>
            </w:r>
            <w:r>
              <w:rPr>
                <w:rFonts w:eastAsia="微軟正黑體" w:cs="Microsoft JhengHei UI" w:ascii="微軟正黑體" w:hAnsi="微軟正黑體"/>
              </w:rPr>
              <w:t>/</w:t>
            </w: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成本要素群組：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檢查次要成本要素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FS00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廠會計</w:t>
            </w:r>
            <w:r>
              <w:rPr>
                <w:rFonts w:eastAsia="微軟正黑體" w:cs="Microsoft JhengHei UI" w:ascii="微軟正黑體" w:hAnsi="微軟正黑體"/>
              </w:rPr>
              <w:t>/</w:t>
            </w: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成本要素：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檢查製費分攤週期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1.KSU1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2.KSU2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3.KSU3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4.KSU4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廠會計</w:t>
            </w:r>
            <w:r>
              <w:rPr>
                <w:rFonts w:eastAsia="微軟正黑體" w:cs="Microsoft JhengHei UI" w:ascii="微軟正黑體" w:hAnsi="微軟正黑體"/>
              </w:rPr>
              <w:t>/</w:t>
            </w: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分攤週期：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執行費用分攤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KSU5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廠會計</w:t>
            </w:r>
            <w:r>
              <w:rPr>
                <w:rFonts w:eastAsia="微軟正黑體" w:cs="Microsoft JhengHei UI" w:ascii="微軟正黑體" w:hAnsi="微軟正黑體"/>
              </w:rPr>
              <w:t>/</w:t>
            </w: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分攤週期：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期間：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會計文件號碼：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檢查成本中心費用分攤結果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S_ALR_87013611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</w:rPr>
              <w:t>廠會計</w:t>
            </w:r>
            <w:r>
              <w:rPr>
                <w:rFonts w:eastAsia="微軟正黑體" w:cs="Microsoft JhengHei UI" w:ascii="微軟正黑體" w:hAnsi="微軟正黑體"/>
              </w:rPr>
              <w:t>/</w:t>
            </w: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會計年度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期間</w:t>
            </w: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版本：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成本要素群組：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成本中心群組：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製造成本中心實際費用分割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KSS2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成本中心群組</w:t>
            </w: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檢查費用分割結果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S_ALR_87013644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成本控制範圍</w:t>
            </w: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：</w:t>
            </w: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>DS00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會計年度：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期間：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版本：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執行製造成本中心實際費用率計算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KSII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成本中心群組</w:t>
            </w: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六大作業類型對應的實際工資率</w:t>
            </w: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：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顯示製造成本中心實際費用率計算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KSBT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會計年度</w:t>
            </w: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：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 xml:space="preserve"> 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期間</w:t>
            </w: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成本中心群組</w:t>
            </w: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  <w:lang w:eastAsia="zh-TW"/>
              </w:rPr>
              <w:t>實際成本</w:t>
            </w: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>月結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執行物料成本計算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CKMLCP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選擇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準備工作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結算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過帳結算：僅測試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bookmarkStart w:id="1" w:name="_Toc458801997"/>
            <w:bookmarkStart w:id="2" w:name="_Toc63117796"/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檢查物料價格和存貨價值</w:t>
            </w:r>
            <w:bookmarkEnd w:id="1"/>
            <w:bookmarkEnd w:id="2"/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S_P99_41000062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工廠</w:t>
            </w:r>
            <w:r>
              <w:rPr>
                <w:rFonts w:ascii="微軟正黑體" w:hAnsi="微軟正黑體" w:cs="Microsoft JhengHei UI" w:eastAsia="微軟正黑體"/>
                <w:lang w:val="en-US" w:eastAsia="zh-TW"/>
              </w:rPr>
              <w:t>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lang w:val="en-US" w:eastAsia="zh-TW"/>
              </w:rPr>
              <w:t>期間：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val="en-US" w:eastAsia="zh-TW"/>
              </w:rPr>
              <w:t>會計年度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FF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FF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FF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val="en-US" w:eastAsia="zh-TW"/>
              </w:rPr>
            </w:pPr>
            <w:r>
              <w:rPr>
                <w:rFonts w:eastAsia="微軟正黑體" w:cs="Microsoft JhengHei UI" w:ascii="微軟正黑體" w:hAnsi="微軟正黑體"/>
                <w:lang w:val="en-US" w:eastAsia="zh-TW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檢視單筆物料進出帳務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CKM3N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物料：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工廠</w:t>
            </w:r>
            <w:r>
              <w:rPr>
                <w:rFonts w:ascii="微軟正黑體" w:hAnsi="微軟正黑體" w:cs="Microsoft JhengHei UI" w:eastAsia="微軟正黑體"/>
                <w:lang w:val="en-US" w:eastAsia="zh-TW"/>
              </w:rPr>
              <w:t>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lang w:val="en-US" w:eastAsia="zh-TW"/>
              </w:rPr>
              <w:t>期間：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val="en-US" w:eastAsia="zh-TW"/>
              </w:rPr>
              <w:t>會計年度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FF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FF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FF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檢查進耗存維護檔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1.ZCO006A</w:t>
              <w:br/>
              <w:t>2.ZCO006B</w:t>
              <w:br/>
              <w:t>3.ZCO006C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總公司會計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FF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FF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FF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產生進耗存異動資料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ZCO006D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FF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FF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FF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執行進耗分析表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ZCO006E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FF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FF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FF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確認帳上存貨金額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1.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COMLWIPDISP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2.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FAGLB03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FF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FF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FF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分析未分配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/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不包含餘額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1.CKMVFM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公司代碼：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期間：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會計年度：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成本執行變式：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val="en-US"/>
              </w:rPr>
            </w:pPr>
            <w:r>
              <w:rPr>
                <w:rFonts w:eastAsia="微軟正黑體" w:cs="Microsoft JhengHei UI" w:ascii="微軟正黑體" w:hAnsi="微軟正黑體"/>
                <w:lang w:val="en-US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檢視未分配報表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lang w:val="en-US"/>
              </w:rPr>
            </w:pPr>
            <w:r>
              <w:rPr>
                <w:rFonts w:eastAsia="微軟正黑體" w:cs="Microsoft JhengHei UI" w:ascii="微軟正黑體" w:hAnsi="微軟正黑體"/>
                <w:lang w:val="en-US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ZCOZ007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工廠：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檢查進耗存維護檔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ZCO007A/ ZCO007B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工廠</w:t>
            </w:r>
            <w:r>
              <w:rPr>
                <w:rFonts w:ascii="微軟正黑體" w:hAnsi="微軟正黑體" w:cs="Microsoft JhengHei UI" w:eastAsia="微軟正黑體"/>
                <w:lang w:val="en-US" w:eastAsia="zh-TW"/>
              </w:rPr>
              <w:t>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lang w:val="en-US" w:eastAsia="zh-TW"/>
              </w:rPr>
              <w:t>期間：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val="en-US" w:eastAsia="zh-TW"/>
              </w:rPr>
              <w:t>會計年度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產生庫齡異動資料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ZCO007C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工廠</w:t>
            </w:r>
            <w:r>
              <w:rPr>
                <w:rFonts w:ascii="微軟正黑體" w:hAnsi="微軟正黑體" w:cs="Microsoft JhengHei UI" w:eastAsia="微軟正黑體"/>
                <w:lang w:val="en-US" w:eastAsia="zh-TW"/>
              </w:rPr>
              <w:t>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lang w:val="en-US" w:eastAsia="zh-TW"/>
              </w:rPr>
              <w:t>期間：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val="en-US" w:eastAsia="zh-TW"/>
              </w:rPr>
              <w:t>會計年度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修正庫齡日期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ZCO007D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工廠</w:t>
            </w:r>
            <w:r>
              <w:rPr>
                <w:rFonts w:ascii="微軟正黑體" w:hAnsi="微軟正黑體" w:cs="Microsoft JhengHei UI" w:eastAsia="微軟正黑體"/>
                <w:lang w:val="en-US" w:eastAsia="zh-TW"/>
              </w:rPr>
              <w:t>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lang w:val="en-US" w:eastAsia="zh-TW"/>
              </w:rPr>
              <w:t>期間：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val="en-US" w:eastAsia="zh-TW"/>
              </w:rPr>
              <w:t>會計年度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執行庫齡分析表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ZCO007E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工廠</w:t>
            </w:r>
            <w:r>
              <w:rPr>
                <w:rFonts w:ascii="微軟正黑體" w:hAnsi="微軟正黑體" w:cs="Microsoft JhengHei UI" w:eastAsia="微軟正黑體"/>
                <w:lang w:val="en-US" w:eastAsia="zh-TW"/>
              </w:rPr>
              <w:t>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lang w:val="en-US" w:eastAsia="zh-TW"/>
              </w:rPr>
              <w:t>期間：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val="en-US" w:eastAsia="zh-TW"/>
              </w:rPr>
              <w:t>會計年度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shd w:fill="FFFD59" w:val="clear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shd w:fill="FFFD59" w:val="clear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shd w:fill="FFFD59" w:val="clear"/>
                <w:lang w:val="en-US" w:eastAsia="zh-TW"/>
              </w:rPr>
              <w:t>週邊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shd w:fill="FFFD59" w:val="clear"/>
                <w:lang w:eastAsia="zh-TW"/>
              </w:rPr>
              <w:t>查看在制報表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shd w:fill="FFFD59" w:val="clear"/>
              </w:rPr>
              <w:t>DeERP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shd w:fill="FFFD59" w:val="clear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shd w:fill="FFFD59" w:val="clear"/>
                <w:lang w:eastAsia="zh-TW"/>
              </w:rPr>
              <w:t>DSCTRPT10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shd w:fill="FFFD59" w:val="clear"/>
              </w:rPr>
              <w:t>報關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shd w:fill="FFFD59" w:val="clear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shd w:fill="FFFD59" w:val="clear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shd w:fill="FFFD59" w:val="clear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shd w:fill="FFFD59" w:val="clear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shd w:fill="FFFD59" w:val="clear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shd w:fill="FFFD59" w:val="clear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shd w:fill="FFFD59" w:val="clear"/>
                <w:lang w:eastAsia="zh-TW"/>
              </w:rPr>
            </w:r>
          </w:p>
        </w:tc>
        <w:tc>
          <w:tcPr>
            <w:tcW w:w="764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shd w:fill="FFFD59" w:val="clear"/>
                <w:lang w:val="en-US" w:eastAsia="zh-TW"/>
              </w:rPr>
              <w:t>週邊</w:t>
            </w:r>
          </w:p>
        </w:tc>
        <w:tc>
          <w:tcPr>
            <w:tcW w:w="1444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shd w:fill="FFFD59" w:val="clear"/>
                <w:lang w:eastAsia="zh-TW"/>
              </w:rPr>
              <w:t>核對庫存報表</w:t>
            </w:r>
          </w:p>
        </w:tc>
        <w:tc>
          <w:tcPr>
            <w:tcW w:w="1049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shd w:fill="FFFD59" w:val="clear"/>
              </w:rPr>
              <w:t>DeERP</w:t>
            </w:r>
          </w:p>
        </w:tc>
        <w:tc>
          <w:tcPr>
            <w:tcW w:w="1978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shd w:fill="FFFD59" w:val="clear"/>
              </w:rPr>
              <w:t>ZMMT906</w:t>
            </w:r>
          </w:p>
        </w:tc>
        <w:tc>
          <w:tcPr>
            <w:tcW w:w="8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shd w:fill="FFFD59" w:val="clear"/>
              </w:rPr>
              <w:t>報關</w:t>
            </w:r>
          </w:p>
        </w:tc>
        <w:tc>
          <w:tcPr>
            <w:tcW w:w="209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shd w:fill="FFFD59" w:val="clear"/>
                <w:lang w:eastAsia="zh-TW"/>
              </w:rPr>
            </w:r>
          </w:p>
        </w:tc>
        <w:tc>
          <w:tcPr>
            <w:tcW w:w="21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shd w:fill="FFFD59" w:val="clear"/>
                <w:lang w:eastAsia="zh-TW"/>
              </w:rPr>
            </w:r>
          </w:p>
        </w:tc>
        <w:tc>
          <w:tcPr>
            <w:tcW w:w="1674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shd w:fill="FFFD59" w:val="clear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shd w:fill="FFFD59" w:val="clear"/>
              </w:rPr>
            </w:r>
          </w:p>
        </w:tc>
        <w:tc>
          <w:tcPr>
            <w:tcW w:w="1776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shd w:fill="FFFD59" w:val="clear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shd w:fill="FFFD59" w:val="clear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shd w:fill="FFFD59" w:val="clear"/>
                <w:lang w:eastAsia="zh-TW"/>
              </w:rPr>
            </w:r>
          </w:p>
        </w:tc>
        <w:tc>
          <w:tcPr>
            <w:tcW w:w="764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shd w:fill="FFFD59" w:val="clear"/>
                <w:lang w:val="en-US" w:eastAsia="zh-TW"/>
              </w:rPr>
              <w:t>週邊</w:t>
            </w:r>
          </w:p>
        </w:tc>
        <w:tc>
          <w:tcPr>
            <w:tcW w:w="1444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shd w:fill="FFFD59" w:val="clear"/>
                <w:lang w:eastAsia="zh-TW"/>
              </w:rPr>
              <w:t>海關材料庫存報表</w:t>
            </w:r>
          </w:p>
        </w:tc>
        <w:tc>
          <w:tcPr>
            <w:tcW w:w="1049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shd w:fill="FFFD59" w:val="clear"/>
                <w:lang w:eastAsia="zh-TW"/>
              </w:rPr>
              <w:t>報關系統</w:t>
            </w:r>
          </w:p>
        </w:tc>
        <w:tc>
          <w:tcPr>
            <w:tcW w:w="1978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shd w:fill="FFFD59" w:val="clear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shd w:fill="FFFD59" w:val="clear"/>
                <w:lang w:eastAsia="zh-TW"/>
              </w:rPr>
              <w:t>DSCD01R</w:t>
            </w:r>
          </w:p>
        </w:tc>
        <w:tc>
          <w:tcPr>
            <w:tcW w:w="8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shd w:fill="FFFD59" w:val="clear"/>
                <w:lang w:eastAsia="zh-TW"/>
              </w:rPr>
              <w:t>報關</w:t>
            </w:r>
          </w:p>
        </w:tc>
        <w:tc>
          <w:tcPr>
            <w:tcW w:w="209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shd w:fill="FFFD59" w:val="clear"/>
                <w:lang w:eastAsia="zh-TW"/>
              </w:rPr>
            </w:r>
          </w:p>
        </w:tc>
        <w:tc>
          <w:tcPr>
            <w:tcW w:w="21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shd w:fill="FFFD59" w:val="clear"/>
                <w:lang w:eastAsia="zh-TW"/>
              </w:rPr>
            </w:r>
          </w:p>
        </w:tc>
        <w:tc>
          <w:tcPr>
            <w:tcW w:w="1674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shd w:fill="FFFD59" w:val="clear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shd w:fill="FFFD59" w:val="clear"/>
              </w:rPr>
            </w:r>
          </w:p>
        </w:tc>
        <w:tc>
          <w:tcPr>
            <w:tcW w:w="1776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shd w:fill="FFFD59" w:val="clear"/>
                <w:lang w:eastAsia="zh-TW"/>
              </w:rPr>
              <w:t>印尼區</w:t>
            </w:r>
          </w:p>
        </w:tc>
      </w:tr>
      <w:tr>
        <w:trPr>
          <w:cantSplit w:val="true"/>
        </w:trPr>
        <w:tc>
          <w:tcPr>
            <w:tcW w:w="602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shd w:fill="FFFD59" w:val="clear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shd w:fill="FFFD59" w:val="clear"/>
                <w:lang w:eastAsia="zh-TW"/>
              </w:rPr>
            </w:r>
          </w:p>
        </w:tc>
        <w:tc>
          <w:tcPr>
            <w:tcW w:w="764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shd w:fill="FFFD59" w:val="clear"/>
                <w:lang w:val="en-US" w:eastAsia="zh-TW"/>
              </w:rPr>
              <w:t>週邊</w:t>
            </w:r>
          </w:p>
        </w:tc>
        <w:tc>
          <w:tcPr>
            <w:tcW w:w="1444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shd w:fill="FFFD59" w:val="clear"/>
                <w:lang w:eastAsia="zh-TW"/>
              </w:rPr>
              <w:t>WIP</w:t>
            </w:r>
            <w:r>
              <w:rPr>
                <w:rFonts w:ascii="微軟正黑體" w:hAnsi="微軟正黑體" w:cs="Microsoft JhengHei UI" w:eastAsia="微軟正黑體"/>
                <w:color w:val="000000"/>
                <w:shd w:fill="FFFD59" w:val="clear"/>
                <w:lang w:eastAsia="zh-TW"/>
              </w:rPr>
              <w:t>在制品報表</w:t>
            </w:r>
          </w:p>
        </w:tc>
        <w:tc>
          <w:tcPr>
            <w:tcW w:w="1049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shd w:fill="FFFD59" w:val="clear"/>
                <w:lang w:eastAsia="zh-TW"/>
              </w:rPr>
              <w:t>報關系統</w:t>
            </w:r>
          </w:p>
        </w:tc>
        <w:tc>
          <w:tcPr>
            <w:tcW w:w="1978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shd w:fill="FFFD59" w:val="clear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shd w:fill="FFFD59" w:val="clear"/>
                <w:lang w:eastAsia="zh-TW"/>
              </w:rPr>
              <w:t>DSCD04R</w:t>
            </w:r>
          </w:p>
        </w:tc>
        <w:tc>
          <w:tcPr>
            <w:tcW w:w="8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shd w:fill="FFFD59" w:val="clear"/>
                <w:lang w:eastAsia="zh-TW"/>
              </w:rPr>
              <w:t>報關</w:t>
            </w:r>
          </w:p>
        </w:tc>
        <w:tc>
          <w:tcPr>
            <w:tcW w:w="209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shd w:fill="FFFD59" w:val="clear"/>
                <w:lang w:eastAsia="zh-TW"/>
              </w:rPr>
            </w:r>
          </w:p>
        </w:tc>
        <w:tc>
          <w:tcPr>
            <w:tcW w:w="21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shd w:fill="FFFD59" w:val="clear"/>
                <w:lang w:eastAsia="zh-TW"/>
              </w:rPr>
            </w:r>
          </w:p>
        </w:tc>
        <w:tc>
          <w:tcPr>
            <w:tcW w:w="1674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shd w:fill="FFFD59" w:val="clear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shd w:fill="FFFD59" w:val="clear"/>
              </w:rPr>
            </w:r>
          </w:p>
        </w:tc>
        <w:tc>
          <w:tcPr>
            <w:tcW w:w="1776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shd w:fill="FFFD59" w:val="clear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shd w:fill="FFFD59" w:val="clear"/>
                <w:lang w:eastAsia="zh-TW"/>
              </w:rPr>
              <w:t>印尼區</w:t>
            </w:r>
          </w:p>
        </w:tc>
      </w:tr>
      <w:tr>
        <w:trPr>
          <w:cantSplit w:val="true"/>
        </w:trPr>
        <w:tc>
          <w:tcPr>
            <w:tcW w:w="602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廠會計針對當月已經結算完的工單，整批做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 xml:space="preserve">" 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 xml:space="preserve">結案 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"</w:t>
            </w:r>
          </w:p>
        </w:tc>
        <w:tc>
          <w:tcPr>
            <w:tcW w:w="1049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COHV</w:t>
            </w:r>
          </w:p>
        </w:tc>
        <w:tc>
          <w:tcPr>
            <w:tcW w:w="8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</w:p>
        </w:tc>
        <w:tc>
          <w:tcPr>
            <w:tcW w:w="209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印尼：進料廠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變式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br/>
              <w:t>CO11: MTO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CO12: MTS</w:t>
            </w:r>
          </w:p>
        </w:tc>
        <w:tc>
          <w:tcPr>
            <w:tcW w:w="1674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單位成本表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客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)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1.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ZC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O0005</w:t>
            </w:r>
          </w:p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2.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CKM3N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廠會計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越南：貿易公司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中國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\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印尼：進料公司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COPA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分析報表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KE30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BA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貿易公司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FI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產生資產負債表與損益表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F.01</w:t>
            </w:r>
          </w:p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GR55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val="en-US"/>
              </w:rPr>
              <w:t>CO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MLOP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分析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GR55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BA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FI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自動結清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F.13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eastAsia="微軟正黑體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來料公司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貿易公司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接單公司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FI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手動結清無法自動結清的資料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例如：含預付款發票驗證的迴轉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F-04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eastAsia="微軟正黑體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來料公司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貿易公司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接單公司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FI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維護月底評價匯率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OB08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匯率類型：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E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幣別：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FI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外幣評價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FAGL_FCV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eastAsia="微軟正黑體"/>
              </w:rPr>
              <w:t>財務</w:t>
            </w:r>
          </w:p>
        </w:tc>
        <w:tc>
          <w:tcPr>
            <w:tcW w:w="2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來料公司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貿易公司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接單公司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1444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關閉上期物料帳</w:t>
            </w:r>
          </w:p>
        </w:tc>
        <w:tc>
          <w:tcPr>
            <w:tcW w:w="1049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MMRV</w:t>
            </w:r>
          </w:p>
        </w:tc>
        <w:tc>
          <w:tcPr>
            <w:tcW w:w="8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總公司會計</w:t>
            </w:r>
          </w:p>
        </w:tc>
        <w:tc>
          <w:tcPr>
            <w:tcW w:w="209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貿易公司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來料公司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進料公司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接單公司</w:t>
            </w:r>
          </w:p>
        </w:tc>
        <w:tc>
          <w:tcPr>
            <w:tcW w:w="21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公司代碼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：</w:t>
            </w:r>
          </w:p>
        </w:tc>
        <w:tc>
          <w:tcPr>
            <w:tcW w:w="1674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76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CO</w:t>
            </w:r>
          </w:p>
        </w:tc>
        <w:tc>
          <w:tcPr>
            <w:tcW w:w="14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關閉成本帳期間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確認所有工廠均能關</w:t>
            </w:r>
            <w:r>
              <w:rPr>
                <w:rFonts w:eastAsia="微軟正黑體" w:cs="Microsoft JhengHei UI" w:ascii="微軟正黑體" w:hAnsi="微軟正黑體"/>
                <w:lang w:val="en-US" w:eastAsia="zh-TW"/>
              </w:rPr>
              <w:t>)</w:t>
            </w:r>
          </w:p>
        </w:tc>
        <w:tc>
          <w:tcPr>
            <w:tcW w:w="10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978" w:type="dxa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OKP1</w:t>
            </w:r>
          </w:p>
        </w:tc>
        <w:tc>
          <w:tcPr>
            <w:tcW w:w="827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總公司會計</w:t>
            </w:r>
          </w:p>
        </w:tc>
        <w:tc>
          <w:tcPr>
            <w:tcW w:w="2097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成本控制範圍</w:t>
            </w:r>
          </w:p>
        </w:tc>
        <w:tc>
          <w:tcPr>
            <w:tcW w:w="2101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val="en-US"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成本控制範圍</w:t>
            </w:r>
            <w:r>
              <w:rPr>
                <w:rFonts w:ascii="微軟正黑體" w:hAnsi="微軟正黑體" w:cs="Microsoft JhengHei UI" w:eastAsia="微軟正黑體"/>
                <w:color w:val="000000"/>
                <w:lang w:val="en-US" w:eastAsia="zh-TW"/>
              </w:rPr>
              <w:t>：</w:t>
            </w:r>
            <w:r>
              <w:rPr>
                <w:rFonts w:eastAsia="微軟正黑體" w:cs="Microsoft JhengHei UI" w:ascii="微軟正黑體" w:hAnsi="微軟正黑體"/>
                <w:color w:val="000000"/>
                <w:lang w:val="en-US" w:eastAsia="zh-TW"/>
              </w:rPr>
              <w:t>DS00</w:t>
            </w:r>
          </w:p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674" w:type="dxa"/>
            <w:tcBorders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cantSplit w:val="true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0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FI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關閉財務前月帳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OB52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總公司會計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</w:tbl>
    <w:p>
      <w:pPr>
        <w:pStyle w:val="Normal"/>
        <w:keepNext w:val="true"/>
        <w:numPr>
          <w:ilvl w:val="0"/>
          <w:numId w:val="2"/>
        </w:numPr>
        <w:tabs>
          <w:tab w:val="left" w:pos="720" w:leader="none"/>
        </w:tabs>
        <w:rPr>
          <w:rFonts w:ascii="微軟正黑體" w:hAnsi="微軟正黑體" w:eastAsia="微軟正黑體" w:cs="Microsoft JhengHei UI"/>
          <w:b/>
          <w:color w:val="000000"/>
        </w:rPr>
      </w:pPr>
      <w:r>
        <w:rPr>
          <w:rFonts w:ascii="微軟正黑體" w:hAnsi="微軟正黑體" w:cs="Microsoft JhengHei UI" w:eastAsia="微軟正黑體"/>
          <w:b/>
          <w:color w:val="000000"/>
        </w:rPr>
        <w:t>問題記錄及其他</w:t>
      </w:r>
    </w:p>
    <w:tbl>
      <w:tblPr>
        <w:tblW w:w="13183" w:type="dxa"/>
        <w:jc w:val="left"/>
        <w:tblInd w:w="-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6235"/>
        <w:gridCol w:w="2129"/>
        <w:gridCol w:w="4819"/>
      </w:tblGrid>
      <w:tr>
        <w:trPr>
          <w:tblHeader w:val="true"/>
          <w:trHeight w:val="454" w:hRule="atLeast"/>
        </w:trPr>
        <w:tc>
          <w:tcPr>
            <w:tcW w:w="623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問題說明</w:t>
            </w:r>
          </w:p>
        </w:tc>
        <w:tc>
          <w:tcPr>
            <w:tcW w:w="212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相關資料</w:t>
            </w:r>
          </w:p>
        </w:tc>
        <w:tc>
          <w:tcPr>
            <w:tcW w:w="481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預計完成日</w:t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819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</w:tbl>
    <w:p>
      <w:pPr>
        <w:pStyle w:val="Normal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</w:r>
    </w:p>
    <w:p>
      <w:pPr>
        <w:pStyle w:val="Normal"/>
        <w:keepNext w:val="true"/>
        <w:numPr>
          <w:ilvl w:val="0"/>
          <w:numId w:val="2"/>
        </w:numPr>
        <w:tabs>
          <w:tab w:val="left" w:pos="720" w:leader="none"/>
        </w:tabs>
        <w:rPr>
          <w:rFonts w:ascii="微軟正黑體" w:hAnsi="微軟正黑體" w:eastAsia="微軟正黑體" w:cs="Microsoft JhengHei UI"/>
          <w:color w:val="000000"/>
          <w:lang w:eastAsia="zh-TW"/>
        </w:rPr>
      </w:pPr>
      <w:r>
        <w:rPr>
          <w:rFonts w:ascii="微軟正黑體" w:hAnsi="微軟正黑體" w:cs="Microsoft JhengHei UI" w:eastAsia="微軟正黑體"/>
          <w:b/>
          <w:color w:val="000000"/>
          <w:lang w:eastAsia="zh-TW"/>
        </w:rPr>
        <w:t xml:space="preserve">附件說明 </w:t>
      </w:r>
      <w:r>
        <w:rPr>
          <w:rFonts w:ascii="微軟正黑體" w:hAnsi="微軟正黑體" w:cs="Microsoft JhengHei UI" w:eastAsia="微軟正黑體"/>
          <w:color w:val="000000"/>
          <w:lang w:eastAsia="zh-TW"/>
        </w:rPr>
        <w:t xml:space="preserve"> 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>[</w:t>
      </w:r>
      <w:r>
        <w:rPr>
          <w:rFonts w:ascii="微軟正黑體" w:hAnsi="微軟正黑體" w:cs="Microsoft JhengHei UI" w:eastAsia="微軟正黑體"/>
          <w:color w:val="000000"/>
          <w:lang w:eastAsia="zh-TW"/>
        </w:rPr>
        <w:t>請將附件或輔助說明置於本區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>]</w:t>
      </w:r>
    </w:p>
    <w:p>
      <w:pPr>
        <w:pStyle w:val="Normal"/>
        <w:keepNext w:val="true"/>
        <w:numPr>
          <w:ilvl w:val="0"/>
          <w:numId w:val="2"/>
        </w:numPr>
        <w:tabs>
          <w:tab w:val="left" w:pos="720" w:leader="none"/>
        </w:tabs>
        <w:rPr>
          <w:rFonts w:ascii="微軟正黑體" w:hAnsi="微軟正黑體" w:eastAsia="微軟正黑體" w:cs="Microsoft JhengHei UI"/>
          <w:b/>
          <w:color w:val="000000"/>
          <w:lang w:eastAsia="zh-TW"/>
        </w:rPr>
      </w:pPr>
      <w:r>
        <w:rPr>
          <w:rFonts w:ascii="微軟正黑體" w:hAnsi="微軟正黑體" w:cs="Microsoft JhengHei UI" w:eastAsia="微軟正黑體"/>
          <w:b/>
          <w:color w:val="000000"/>
          <w:lang w:eastAsia="zh-TW"/>
        </w:rPr>
        <w:t xml:space="preserve">注意事項  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>[</w:t>
      </w:r>
      <w:r>
        <w:rPr>
          <w:rFonts w:ascii="微軟正黑體" w:hAnsi="微軟正黑體" w:cs="Microsoft JhengHei UI" w:eastAsia="微軟正黑體"/>
          <w:color w:val="000000"/>
          <w:lang w:eastAsia="zh-TW"/>
        </w:rPr>
        <w:t>請將注意事項置於本區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>]</w:t>
      </w:r>
    </w:p>
    <w:p>
      <w:pPr>
        <w:pStyle w:val="Normal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</w:r>
    </w:p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orient="landscape" w:w="16838" w:h="11906"/>
      <w:pgMar w:left="567" w:right="567" w:gutter="0" w:header="567" w:top="624" w:footer="403" w:bottom="567"/>
      <w:pgNumType w:start="1" w:fmt="decimal"/>
      <w:formProt w:val="false"/>
      <w:textDirection w:val="lrTb"/>
      <w:docGrid w:type="default" w:linePitch="1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Poppins">
    <w:charset w:val="01"/>
    <w:family w:val="roman"/>
    <w:pitch w:val="variable"/>
  </w:font>
  <w:font w:name="Futura Bk">
    <w:charset w:val="01"/>
    <w:family w:val="roman"/>
    <w:pitch w:val="variable"/>
  </w:font>
  <w:font w:name="Cambria">
    <w:charset w:val="01"/>
    <w:family w:val="roman"/>
    <w:pitch w:val="variable"/>
  </w:font>
  <w:font w:name="Carlito">
    <w:altName w:val="Calibri"/>
    <w:charset w:val="01"/>
    <w:family w:val="swiss"/>
    <w:pitch w:val="variable"/>
  </w:font>
  <w:font w:name="Book Antiqua">
    <w:charset w:val="01"/>
    <w:family w:val="roman"/>
    <w:pitch w:val="variable"/>
  </w:font>
  <w:font w:name="Arial">
    <w:charset w:val="01"/>
    <w:family w:val="roman"/>
    <w:pitch w:val="variable"/>
  </w:font>
  <w:font w:name="Georgia">
    <w:charset w:val="01"/>
    <w:family w:val="roman"/>
    <w:pitch w:val="variable"/>
  </w:font>
  <w:font w:name="微軟正黑體">
    <w:charset w:val="01"/>
    <w:family w:val="roman"/>
    <w:pitch w:val="variable"/>
  </w:font>
  <w:font w:name="Microsoft JhengHei UI">
    <w:charset w:val="01"/>
    <w:family w:val="roman"/>
    <w:pitch w:val="variable"/>
  </w:font>
  <w:font w:name="Arimo">
    <w:altName w:val="arial"/>
    <w:charset w:val="01"/>
    <w:family w:val="roman"/>
    <w:pitch w:val="variable"/>
  </w:font>
  <w:font w:name="Noto Sans Symbol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5235"/>
      <w:gridCol w:w="5236"/>
      <w:gridCol w:w="5233"/>
    </w:tblGrid>
    <w:tr>
      <w:trPr/>
      <w:tc>
        <w:tcPr>
          <w:tcW w:w="5235" w:type="dxa"/>
          <w:tcBorders/>
        </w:tcPr>
        <w:p>
          <w:pPr>
            <w:pStyle w:val="Normal"/>
            <w:spacing w:before="60" w:after="20"/>
            <w:rPr>
              <w:rFonts w:ascii="微軟正黑體" w:hAnsi="微軟正黑體" w:eastAsia="微軟正黑體" w:cs="Arimo"/>
              <w:color w:val="000000"/>
              <w:sz w:val="18"/>
              <w:szCs w:val="18"/>
            </w:rPr>
          </w:pPr>
          <w:bookmarkStart w:id="3" w:name="bookmark=id.3znysh7_Copy_1"/>
          <w:bookmarkEnd w:id="3"/>
          <w:r>
            <w:rPr>
              <w:rFonts w:ascii="微軟正黑體" w:hAnsi="微軟正黑體" w:cs="新細明體" w:eastAsia="微軟正黑體"/>
              <w:color w:val="000000"/>
              <w:sz w:val="18"/>
              <w:szCs w:val="18"/>
            </w:rPr>
            <w:t>賜昌</w:t>
          </w:r>
          <w:r>
            <w:rPr>
              <w:rFonts w:eastAsia="微軟正黑體" w:cs="Arimo" w:ascii="微軟正黑體" w:hAnsi="微軟正黑體"/>
              <w:color w:val="000000"/>
              <w:sz w:val="18"/>
              <w:szCs w:val="18"/>
            </w:rPr>
            <w:t>_SIT-623_</w:t>
          </w:r>
          <w:r>
            <w:rPr>
              <w:rFonts w:ascii="微軟正黑體" w:hAnsi="微軟正黑體" w:cs="新細明體" w:eastAsia="微軟正黑體"/>
              <w:color w:val="000000"/>
              <w:sz w:val="18"/>
              <w:szCs w:val="18"/>
            </w:rPr>
            <w:t>月結作業</w:t>
          </w:r>
        </w:p>
      </w:tc>
      <w:tc>
        <w:tcPr>
          <w:tcW w:w="5236" w:type="dxa"/>
          <w:tcBorders/>
        </w:tcPr>
        <w:p>
          <w:pPr>
            <w:pStyle w:val="Normal"/>
            <w:spacing w:before="60" w:after="20"/>
            <w:rPr>
              <w:rFonts w:ascii="微軟正黑體" w:hAnsi="微軟正黑體" w:eastAsia="微軟正黑體" w:cs="Arimo"/>
              <w:color w:val="000000"/>
              <w:sz w:val="18"/>
              <w:szCs w:val="18"/>
            </w:rPr>
          </w:pPr>
          <w:r>
            <w:rPr>
              <w:rFonts w:eastAsia="微軟正黑體" w:cs="Arimo" w:ascii="微軟正黑體" w:hAnsi="微軟正黑體"/>
              <w:color w:val="000000"/>
              <w:sz w:val="18"/>
              <w:szCs w:val="18"/>
            </w:rPr>
          </w:r>
        </w:p>
      </w:tc>
      <w:tc>
        <w:tcPr>
          <w:tcW w:w="5233" w:type="dxa"/>
          <w:tcBorders/>
        </w:tcPr>
        <w:p>
          <w:pPr>
            <w:pStyle w:val="Normal"/>
            <w:spacing w:before="60" w:after="20"/>
            <w:ind w:right="720" w:hanging="0"/>
            <w:rPr>
              <w:rFonts w:ascii="微軟正黑體" w:hAnsi="微軟正黑體" w:eastAsia="微軟正黑體" w:cs="Arimo"/>
              <w:sz w:val="18"/>
              <w:szCs w:val="18"/>
            </w:rPr>
          </w:pPr>
          <w:r>
            <w:rPr>
              <w:rFonts w:eastAsia="微軟正黑體" w:cs="Arimo" w:ascii="微軟正黑體" w:hAnsi="微軟正黑體"/>
              <w:sz w:val="18"/>
              <w:szCs w:val="18"/>
            </w:rPr>
            <w:t xml:space="preserve">Page </w:t>
          </w:r>
          <w:r>
            <w:rPr>
              <w:rFonts w:eastAsia="微軟正黑體" w:cs="Arimo" w:ascii="微軟正黑體" w:hAnsi="微軟正黑體"/>
              <w:sz w:val="18"/>
              <w:szCs w:val="18"/>
            </w:rPr>
            <w:fldChar w:fldCharType="begin"/>
          </w:r>
          <w:r>
            <w:rPr>
              <w:sz w:val="18"/>
              <w:szCs w:val="18"/>
              <w:rFonts w:eastAsia="微軟正黑體" w:cs="Arimo" w:ascii="微軟正黑體" w:hAnsi="微軟正黑體"/>
            </w:rPr>
            <w:instrText xml:space="preserve"> PAGE </w:instrText>
          </w:r>
          <w:r>
            <w:rPr>
              <w:sz w:val="18"/>
              <w:szCs w:val="18"/>
              <w:rFonts w:eastAsia="微軟正黑體" w:cs="Arimo" w:ascii="微軟正黑體" w:hAnsi="微軟正黑體"/>
            </w:rPr>
            <w:fldChar w:fldCharType="separate"/>
          </w:r>
          <w:r>
            <w:rPr>
              <w:sz w:val="18"/>
              <w:szCs w:val="18"/>
              <w:rFonts w:eastAsia="微軟正黑體" w:cs="Arimo" w:ascii="微軟正黑體" w:hAnsi="微軟正黑體"/>
            </w:rPr>
            <w:t>17</w:t>
          </w:r>
          <w:r>
            <w:rPr>
              <w:sz w:val="18"/>
              <w:szCs w:val="18"/>
              <w:rFonts w:eastAsia="微軟正黑體" w:cs="Arimo" w:ascii="微軟正黑體" w:hAnsi="微軟正黑體"/>
            </w:rPr>
            <w:fldChar w:fldCharType="end"/>
          </w:r>
          <w:r>
            <w:rPr>
              <w:rFonts w:eastAsia="微軟正黑體" w:cs="Arimo" w:ascii="微軟正黑體" w:hAnsi="微軟正黑體"/>
              <w:sz w:val="18"/>
              <w:szCs w:val="18"/>
            </w:rPr>
            <w:t xml:space="preserve"> of </w:t>
          </w:r>
          <w:r>
            <w:rPr>
              <w:rFonts w:eastAsia="微軟正黑體" w:cs="Arimo" w:ascii="微軟正黑體" w:hAnsi="微軟正黑體"/>
              <w:sz w:val="18"/>
              <w:szCs w:val="18"/>
            </w:rPr>
            <w:fldChar w:fldCharType="begin"/>
          </w:r>
          <w:r>
            <w:rPr>
              <w:sz w:val="18"/>
              <w:szCs w:val="18"/>
              <w:rFonts w:eastAsia="微軟正黑體" w:cs="Arimo" w:ascii="微軟正黑體" w:hAnsi="微軟正黑體"/>
            </w:rPr>
            <w:instrText xml:space="preserve"> NUMPAGES </w:instrText>
          </w:r>
          <w:r>
            <w:rPr>
              <w:sz w:val="18"/>
              <w:szCs w:val="18"/>
              <w:rFonts w:eastAsia="微軟正黑體" w:cs="Arimo" w:ascii="微軟正黑體" w:hAnsi="微軟正黑體"/>
            </w:rPr>
            <w:fldChar w:fldCharType="separate"/>
          </w:r>
          <w:r>
            <w:rPr>
              <w:sz w:val="18"/>
              <w:szCs w:val="18"/>
              <w:rFonts w:eastAsia="微軟正黑體" w:cs="Arimo" w:ascii="微軟正黑體" w:hAnsi="微軟正黑體"/>
            </w:rPr>
            <w:t>17</w:t>
          </w:r>
          <w:r>
            <w:rPr>
              <w:sz w:val="18"/>
              <w:szCs w:val="18"/>
              <w:rFonts w:eastAsia="微軟正黑體" w:cs="Arimo" w:ascii="微軟正黑體" w:hAnsi="微軟正黑體"/>
            </w:rPr>
            <w:fldChar w:fldCharType="end"/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Arimo" w:hAnsi="Arimo" w:eastAsia="Arimo" w:cs="Arimo"/>
        <w:color w:val="000000"/>
        <w:sz w:val="4"/>
        <w:szCs w:val="4"/>
      </w:rPr>
    </w:pPr>
    <w:r>
      <w:rPr>
        <w:rFonts w:eastAsia="Arimo" w:cs="Arimo" w:ascii="Arimo" w:hAnsi="Arimo"/>
        <w:color w:val="000000"/>
        <w:sz w:val="4"/>
        <w:szCs w:val="4"/>
      </w:rPr>
    </w:r>
  </w:p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Poppins" w:hAnsi="Poppins" w:eastAsia="Poppins"/>
        <w:color w:val="000000"/>
        <w:sz w:val="4"/>
        <w:szCs w:val="4"/>
      </w:rPr>
    </w:pPr>
    <w:r>
      <w:rPr>
        <w:rFonts w:eastAsia="Poppins" w:ascii="Poppins" w:hAnsi="Poppins"/>
        <w:color w:val="000000"/>
        <w:sz w:val="4"/>
        <w:szCs w:val="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320" w:leader="none"/>
        <w:tab w:val="right" w:pos="8640" w:leader="none"/>
      </w:tabs>
      <w:jc w:val="right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  <w:fldChar w:fldCharType="begin"/>
    </w:r>
    <w:r>
      <w:rPr>
        <w:rFonts w:eastAsia="Poppins" w:ascii="Poppins" w:hAnsi="Poppins"/>
        <w:color w:val="000000"/>
      </w:rPr>
      <w:instrText xml:space="preserve"> PAGE </w:instrText>
    </w:r>
    <w:r>
      <w:rPr>
        <w:rFonts w:eastAsia="Poppins" w:ascii="Poppins" w:hAnsi="Poppins"/>
        <w:color w:val="000000"/>
      </w:rPr>
      <w:fldChar w:fldCharType="separate"/>
    </w:r>
    <w:r>
      <w:rPr>
        <w:rFonts w:eastAsia="Poppins" w:ascii="Poppins" w:hAnsi="Poppins"/>
        <w:color w:val="000000"/>
      </w:rPr>
      <w:t>0</w:t>
    </w:r>
    <w:r>
      <w:rPr>
        <w:rFonts w:eastAsia="Poppins" w:ascii="Poppins" w:hAnsi="Poppins"/>
        <w:color w:val="000000"/>
      </w:rPr>
      <w:fldChar w:fldCharType="end"/>
    </w:r>
  </w:p>
  <w:p>
    <w:pPr>
      <w:pStyle w:val="Normal"/>
      <w:tabs>
        <w:tab w:val="clear" w:pos="720"/>
        <w:tab w:val="center" w:pos="4320" w:leader="none"/>
        <w:tab w:val="right" w:pos="8640" w:leader="none"/>
      </w:tabs>
      <w:ind w:right="360" w:hanging="0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5234"/>
      <w:gridCol w:w="5237"/>
      <w:gridCol w:w="5233"/>
    </w:tblGrid>
    <w:tr>
      <w:trPr>
        <w:cantSplit w:val="true"/>
      </w:trPr>
      <w:tc>
        <w:tcPr>
          <w:tcW w:w="52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ind w:right="360" w:hanging="0"/>
            <w:rPr>
              <w:rFonts w:ascii="微軟正黑體" w:hAnsi="微軟正黑體" w:eastAsia="微軟正黑體"/>
              <w:sz w:val="24"/>
              <w:szCs w:val="24"/>
            </w:rPr>
          </w:pPr>
          <w:r>
            <w:rPr>
              <w:rFonts w:eastAsia="微軟正黑體" w:ascii="微軟正黑體" w:hAnsi="微軟正黑體"/>
              <w:sz w:val="24"/>
              <w:szCs w:val="24"/>
            </w:rPr>
          </w:r>
        </w:p>
      </w:tc>
      <w:tc>
        <w:tcPr>
          <w:tcW w:w="5237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"/>
            <w:jc w:val="center"/>
            <w:rPr>
              <w:rFonts w:ascii="微軟正黑體" w:hAnsi="微軟正黑體" w:eastAsia="微軟正黑體" w:cs="Arimo"/>
              <w:b/>
              <w:sz w:val="24"/>
              <w:szCs w:val="24"/>
            </w:rPr>
          </w:pPr>
          <w:r>
            <w:rPr>
              <w:rFonts w:ascii="微軟正黑體" w:hAnsi="微軟正黑體" w:cs="Arimo" w:eastAsia="微軟正黑體"/>
              <w:b/>
              <w:sz w:val="24"/>
              <w:szCs w:val="24"/>
            </w:rPr>
            <w:t>整合測試腳本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ind w:right="-72" w:hanging="0"/>
            <w:rPr>
              <w:rFonts w:ascii="微軟正黑體" w:hAnsi="微軟正黑體" w:eastAsia="微軟正黑體" w:cs="Arimo"/>
              <w:sz w:val="24"/>
              <w:szCs w:val="24"/>
            </w:rPr>
          </w:pPr>
          <w:sdt>
            <w:sdtPr>
              <w:tag w:val="goog_rdk_1"/>
              <w:id w:val="1421133641"/>
            </w:sdtPr>
            <w:sdtContent>
              <w:r>
                <w:rPr>
                  <w:rFonts w:eastAsia="微軟正黑體" w:cs="Arial Unicode MS" w:ascii="微軟正黑體" w:hAnsi="微軟正黑體"/>
                  <w:sz w:val="24"/>
                  <w:szCs w:val="24"/>
                </w:rPr>
              </w:r>
              <w:r>
                <w:rPr>
                  <w:rFonts w:ascii="微軟正黑體" w:hAnsi="微軟正黑體" w:cs="Arial Unicode MS" w:eastAsia="微軟正黑體"/>
                  <w:sz w:val="24"/>
                  <w:szCs w:val="24"/>
                </w:rPr>
                <w:t>品牌</w:t>
              </w:r>
              <w:r>
                <w:rPr>
                  <w:rFonts w:eastAsia="微軟正黑體" w:cs="Arial Unicode MS" w:ascii="微軟正黑體" w:hAnsi="微軟正黑體"/>
                  <w:sz w:val="24"/>
                  <w:szCs w:val="24"/>
                </w:rPr>
                <w:t xml:space="preserve">: </w:t>
              </w:r>
            </w:sdtContent>
          </w:sdt>
          <w:r>
            <w:rPr>
              <w:rFonts w:ascii="微軟正黑體" w:hAnsi="微軟正黑體" w:cs="新細明體" w:eastAsia="微軟正黑體"/>
              <w:sz w:val="24"/>
              <w:szCs w:val="24"/>
            </w:rPr>
            <w:t>範本</w:t>
          </w:r>
        </w:p>
      </w:tc>
    </w:tr>
    <w:tr>
      <w:trPr>
        <w:trHeight w:val="529" w:hRule="atLeast"/>
        <w:cantSplit w:val="true"/>
      </w:trPr>
      <w:tc>
        <w:tcPr>
          <w:tcW w:w="52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spacing w:before="0" w:after="0"/>
            <w:rPr>
              <w:rFonts w:ascii="微軟正黑體" w:hAnsi="微軟正黑體" w:eastAsia="微軟正黑體" w:cs="Arimo"/>
              <w:sz w:val="24"/>
              <w:szCs w:val="24"/>
            </w:rPr>
          </w:pPr>
          <w:r>
            <w:rPr>
              <w:rFonts w:eastAsia="微軟正黑體" w:cs="Arimo" w:ascii="微軟正黑體" w:hAnsi="微軟正黑體"/>
              <w:sz w:val="24"/>
              <w:szCs w:val="24"/>
            </w:rPr>
          </w:r>
        </w:p>
      </w:tc>
      <w:tc>
        <w:tcPr>
          <w:tcW w:w="5237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Heading2"/>
            <w:spacing w:before="0" w:after="0"/>
            <w:rPr>
              <w:rFonts w:ascii="微軟正黑體" w:hAnsi="微軟正黑體" w:eastAsia="微軟正黑體" w:cs="Arimo"/>
              <w:sz w:val="24"/>
              <w:szCs w:val="24"/>
              <w:lang w:eastAsia="zh-TW"/>
            </w:rPr>
          </w:pPr>
          <w:r>
            <w:rPr>
              <w:rFonts w:ascii="微軟正黑體" w:hAnsi="微軟正黑體" w:cs="新細明體" w:eastAsia="微軟正黑體"/>
              <w:sz w:val="24"/>
              <w:szCs w:val="24"/>
              <w:lang w:eastAsia="zh-TW"/>
            </w:rPr>
            <w:t>腳本編號</w:t>
          </w:r>
          <w:r>
            <w:rPr>
              <w:rFonts w:eastAsia="微軟正黑體" w:cs="新細明體" w:ascii="微軟正黑體" w:hAnsi="微軟正黑體"/>
              <w:sz w:val="24"/>
              <w:szCs w:val="24"/>
              <w:lang w:eastAsia="zh-TW"/>
            </w:rPr>
            <w:t>: SIT-623</w:t>
          </w:r>
        </w:p>
        <w:p>
          <w:pPr>
            <w:pStyle w:val="Heading2"/>
            <w:spacing w:before="0" w:after="0"/>
            <w:rPr>
              <w:rFonts w:ascii="微軟正黑體" w:hAnsi="微軟正黑體" w:eastAsia="微軟正黑體" w:cs="Arimo"/>
              <w:sz w:val="24"/>
              <w:szCs w:val="24"/>
              <w:lang w:eastAsia="zh-TW"/>
            </w:rPr>
          </w:pPr>
          <w:r>
            <w:rPr>
              <w:rFonts w:ascii="微軟正黑體" w:hAnsi="微軟正黑體" w:cs="Microsoft JhengHei UI" w:eastAsia="微軟正黑體"/>
              <w:sz w:val="24"/>
              <w:szCs w:val="24"/>
              <w:lang w:eastAsia="zh-TW"/>
            </w:rPr>
            <w:t>月結作業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jc w:val="right"/>
            <w:rPr>
              <w:rFonts w:ascii="微軟正黑體" w:hAnsi="微軟正黑體" w:eastAsia="微軟正黑體" w:cs="Arimo"/>
              <w:b/>
              <w:sz w:val="24"/>
              <w:szCs w:val="24"/>
              <w:lang w:eastAsia="zh-TW"/>
            </w:rPr>
          </w:pPr>
          <w:r>
            <w:rPr>
              <w:rFonts w:eastAsia="微軟正黑體" w:cs="Arimo" w:ascii="微軟正黑體" w:hAnsi="微軟正黑體"/>
              <w:b/>
              <w:sz w:val="24"/>
              <w:szCs w:val="24"/>
              <w:lang w:eastAsia="zh-TW"/>
            </w:rPr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微軟正黑體" w:hAnsi="微軟正黑體" w:eastAsia="微軟正黑體"/>
        <w:color w:val="000000"/>
        <w:sz w:val="24"/>
        <w:szCs w:val="24"/>
        <w:lang w:eastAsia="zh-TW"/>
      </w:rPr>
    </w:pPr>
    <w:r>
      <w:rPr>
        <w:rFonts w:eastAsia="微軟正黑體" w:ascii="微軟正黑體" w:hAnsi="微軟正黑體"/>
        <w:color w:val="000000"/>
        <w:sz w:val="24"/>
        <w:szCs w:val="24"/>
        <w:lang w:eastAsia="zh-TW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5234"/>
      <w:gridCol w:w="5237"/>
      <w:gridCol w:w="5233"/>
    </w:tblGrid>
    <w:tr>
      <w:trPr>
        <w:cantSplit w:val="true"/>
      </w:trPr>
      <w:tc>
        <w:tcPr>
          <w:tcW w:w="52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ind w:right="360" w:hanging="0"/>
            <w:rPr>
              <w:rFonts w:ascii="微軟正黑體" w:hAnsi="微軟正黑體" w:eastAsia="微軟正黑體"/>
              <w:sz w:val="24"/>
              <w:szCs w:val="24"/>
            </w:rPr>
          </w:pPr>
          <w:r>
            <w:rPr>
              <w:rFonts w:eastAsia="微軟正黑體" w:ascii="微軟正黑體" w:hAnsi="微軟正黑體"/>
              <w:sz w:val="24"/>
              <w:szCs w:val="24"/>
            </w:rPr>
          </w:r>
        </w:p>
      </w:tc>
      <w:tc>
        <w:tcPr>
          <w:tcW w:w="5237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"/>
            <w:jc w:val="center"/>
            <w:rPr>
              <w:rFonts w:ascii="微軟正黑體" w:hAnsi="微軟正黑體" w:eastAsia="微軟正黑體" w:cs="Arimo"/>
              <w:b/>
              <w:sz w:val="24"/>
              <w:szCs w:val="24"/>
            </w:rPr>
          </w:pPr>
          <w:r>
            <w:rPr>
              <w:rFonts w:ascii="微軟正黑體" w:hAnsi="微軟正黑體" w:cs="Arimo" w:eastAsia="微軟正黑體"/>
              <w:b/>
              <w:sz w:val="24"/>
              <w:szCs w:val="24"/>
            </w:rPr>
            <w:t>整合測試腳本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ind w:right="-72" w:hanging="0"/>
            <w:rPr>
              <w:rFonts w:ascii="微軟正黑體" w:hAnsi="微軟正黑體" w:eastAsia="微軟正黑體" w:cs="Arimo"/>
              <w:sz w:val="24"/>
              <w:szCs w:val="24"/>
            </w:rPr>
          </w:pPr>
          <w:sdt>
            <w:sdtPr>
              <w:tag w:val="goog_rdk_1"/>
              <w:id w:val="1421133641"/>
            </w:sdtPr>
            <w:sdtContent>
              <w:r>
                <w:rPr>
                  <w:rFonts w:eastAsia="微軟正黑體" w:cs="Arial Unicode MS" w:ascii="微軟正黑體" w:hAnsi="微軟正黑體"/>
                  <w:sz w:val="24"/>
                  <w:szCs w:val="24"/>
                </w:rPr>
              </w:r>
              <w:r>
                <w:rPr>
                  <w:rFonts w:ascii="微軟正黑體" w:hAnsi="微軟正黑體" w:cs="Arial Unicode MS" w:eastAsia="微軟正黑體"/>
                  <w:sz w:val="24"/>
                  <w:szCs w:val="24"/>
                </w:rPr>
                <w:t>品牌</w:t>
              </w:r>
              <w:r>
                <w:rPr>
                  <w:rFonts w:eastAsia="微軟正黑體" w:cs="Arial Unicode MS" w:ascii="微軟正黑體" w:hAnsi="微軟正黑體"/>
                  <w:sz w:val="24"/>
                  <w:szCs w:val="24"/>
                </w:rPr>
                <w:t xml:space="preserve">: </w:t>
              </w:r>
            </w:sdtContent>
          </w:sdt>
          <w:r>
            <w:rPr>
              <w:rFonts w:ascii="微軟正黑體" w:hAnsi="微軟正黑體" w:cs="新細明體" w:eastAsia="微軟正黑體"/>
              <w:sz w:val="24"/>
              <w:szCs w:val="24"/>
            </w:rPr>
            <w:t>範本</w:t>
          </w:r>
        </w:p>
      </w:tc>
    </w:tr>
    <w:tr>
      <w:trPr>
        <w:trHeight w:val="529" w:hRule="atLeast"/>
        <w:cantSplit w:val="true"/>
      </w:trPr>
      <w:tc>
        <w:tcPr>
          <w:tcW w:w="52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spacing w:before="0" w:after="0"/>
            <w:rPr>
              <w:rFonts w:ascii="微軟正黑體" w:hAnsi="微軟正黑體" w:eastAsia="微軟正黑體" w:cs="Arimo"/>
              <w:sz w:val="24"/>
              <w:szCs w:val="24"/>
            </w:rPr>
          </w:pPr>
          <w:r>
            <w:rPr>
              <w:rFonts w:eastAsia="微軟正黑體" w:cs="Arimo" w:ascii="微軟正黑體" w:hAnsi="微軟正黑體"/>
              <w:sz w:val="24"/>
              <w:szCs w:val="24"/>
            </w:rPr>
          </w:r>
        </w:p>
      </w:tc>
      <w:tc>
        <w:tcPr>
          <w:tcW w:w="5237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Heading2"/>
            <w:spacing w:before="0" w:after="0"/>
            <w:rPr>
              <w:rFonts w:ascii="微軟正黑體" w:hAnsi="微軟正黑體" w:eastAsia="微軟正黑體" w:cs="Arimo"/>
              <w:sz w:val="24"/>
              <w:szCs w:val="24"/>
              <w:lang w:eastAsia="zh-TW"/>
            </w:rPr>
          </w:pPr>
          <w:r>
            <w:rPr>
              <w:rFonts w:ascii="微軟正黑體" w:hAnsi="微軟正黑體" w:cs="新細明體" w:eastAsia="微軟正黑體"/>
              <w:sz w:val="24"/>
              <w:szCs w:val="24"/>
              <w:lang w:eastAsia="zh-TW"/>
            </w:rPr>
            <w:t>腳本編號</w:t>
          </w:r>
          <w:r>
            <w:rPr>
              <w:rFonts w:eastAsia="微軟正黑體" w:cs="新細明體" w:ascii="微軟正黑體" w:hAnsi="微軟正黑體"/>
              <w:sz w:val="24"/>
              <w:szCs w:val="24"/>
              <w:lang w:eastAsia="zh-TW"/>
            </w:rPr>
            <w:t>: SIT-623</w:t>
          </w:r>
        </w:p>
        <w:p>
          <w:pPr>
            <w:pStyle w:val="Heading2"/>
            <w:spacing w:before="0" w:after="0"/>
            <w:rPr>
              <w:rFonts w:ascii="微軟正黑體" w:hAnsi="微軟正黑體" w:eastAsia="微軟正黑體" w:cs="Arimo"/>
              <w:sz w:val="24"/>
              <w:szCs w:val="24"/>
              <w:lang w:eastAsia="zh-TW"/>
            </w:rPr>
          </w:pPr>
          <w:r>
            <w:rPr>
              <w:rFonts w:ascii="微軟正黑體" w:hAnsi="微軟正黑體" w:cs="Microsoft JhengHei UI" w:eastAsia="微軟正黑體"/>
              <w:sz w:val="24"/>
              <w:szCs w:val="24"/>
              <w:lang w:eastAsia="zh-TW"/>
            </w:rPr>
            <w:t>月結作業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jc w:val="right"/>
            <w:rPr>
              <w:rFonts w:ascii="微軟正黑體" w:hAnsi="微軟正黑體" w:eastAsia="微軟正黑體" w:cs="Arimo"/>
              <w:b/>
              <w:sz w:val="24"/>
              <w:szCs w:val="24"/>
              <w:lang w:eastAsia="zh-TW"/>
            </w:rPr>
          </w:pPr>
          <w:r>
            <w:rPr>
              <w:rFonts w:eastAsia="微軟正黑體" w:cs="Arimo" w:ascii="微軟正黑體" w:hAnsi="微軟正黑體"/>
              <w:b/>
              <w:sz w:val="24"/>
              <w:szCs w:val="24"/>
              <w:lang w:eastAsia="zh-TW"/>
            </w:rPr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微軟正黑體" w:hAnsi="微軟正黑體" w:eastAsia="微軟正黑體"/>
        <w:color w:val="000000"/>
        <w:sz w:val="24"/>
        <w:szCs w:val="24"/>
        <w:lang w:eastAsia="zh-TW"/>
      </w:rPr>
    </w:pPr>
    <w:r>
      <w:rPr>
        <w:rFonts w:eastAsia="微軟正黑體" w:ascii="微軟正黑體" w:hAnsi="微軟正黑體"/>
        <w:color w:val="000000"/>
        <w:sz w:val="24"/>
        <w:szCs w:val="24"/>
        <w:lang w:eastAsia="zh-TW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  <w:rPr/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1"/>
        </w:tabs>
        <w:ind w:left="361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70"/>
        </w:tabs>
        <w:ind w:left="650" w:hanging="480"/>
      </w:pPr>
      <w:rPr/>
    </w:lvl>
    <w:lvl w:ilvl="1">
      <w:start w:val="1"/>
      <w:numFmt w:val="decimal"/>
      <w:lvlText w:val="%2、"/>
      <w:lvlJc w:val="left"/>
      <w:pPr>
        <w:tabs>
          <w:tab w:val="num" w:pos="170"/>
        </w:tabs>
        <w:ind w:left="113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170"/>
        </w:tabs>
        <w:ind w:left="1610" w:hanging="480"/>
      </w:pPr>
      <w:rPr/>
    </w:lvl>
    <w:lvl w:ilvl="3">
      <w:start w:val="1"/>
      <w:numFmt w:val="decimal"/>
      <w:lvlText w:val="%4."/>
      <w:lvlJc w:val="left"/>
      <w:pPr>
        <w:tabs>
          <w:tab w:val="num" w:pos="170"/>
        </w:tabs>
        <w:ind w:left="2090" w:hanging="480"/>
      </w:pPr>
      <w:rPr/>
    </w:lvl>
    <w:lvl w:ilvl="4">
      <w:start w:val="1"/>
      <w:numFmt w:val="decimal"/>
      <w:lvlText w:val="%5、"/>
      <w:lvlJc w:val="left"/>
      <w:pPr>
        <w:tabs>
          <w:tab w:val="num" w:pos="170"/>
        </w:tabs>
        <w:ind w:left="257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170"/>
        </w:tabs>
        <w:ind w:left="3050" w:hanging="480"/>
      </w:pPr>
      <w:rPr/>
    </w:lvl>
    <w:lvl w:ilvl="6">
      <w:start w:val="1"/>
      <w:numFmt w:val="decimal"/>
      <w:lvlText w:val="%7."/>
      <w:lvlJc w:val="left"/>
      <w:pPr>
        <w:tabs>
          <w:tab w:val="num" w:pos="170"/>
        </w:tabs>
        <w:ind w:left="3530" w:hanging="480"/>
      </w:pPr>
      <w:rPr/>
    </w:lvl>
    <w:lvl w:ilvl="7">
      <w:start w:val="1"/>
      <w:numFmt w:val="decimal"/>
      <w:lvlText w:val="%8、"/>
      <w:lvlJc w:val="left"/>
      <w:pPr>
        <w:tabs>
          <w:tab w:val="num" w:pos="170"/>
        </w:tabs>
        <w:ind w:left="401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170"/>
        </w:tabs>
        <w:ind w:left="4490" w:hanging="480"/>
      </w:pPr>
      <w:rPr/>
    </w:lvl>
  </w:abstractNum>
  <w:abstractNum w:abstractNumId="10"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oppins" w:hAnsi="Poppins" w:eastAsia="" w:cs="Poppins" w:eastAsiaTheme="minorEastAsia"/>
        <w:lang w:val="en-GB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c2457"/>
    <w:pPr>
      <w:widowControl/>
      <w:suppressAutoHyphens w:val="true"/>
      <w:bidi w:val="0"/>
      <w:spacing w:before="0" w:after="0"/>
      <w:jc w:val="left"/>
    </w:pPr>
    <w:rPr>
      <w:rFonts w:ascii="Futura Bk" w:hAnsi="Futura Bk" w:eastAsia="SimSun" w:cs="Poppins"/>
      <w:color w:val="auto"/>
      <w:kern w:val="0"/>
      <w:sz w:val="20"/>
      <w:szCs w:val="20"/>
      <w:lang w:eastAsia="en-US" w:val="en-GB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spacing w:before="240" w:after="60"/>
      <w:outlineLvl w:val="0"/>
    </w:pPr>
    <w:rPr>
      <w:b/>
      <w:kern w:val="2"/>
      <w:sz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spacing w:before="80" w:after="80"/>
      <w:jc w:val="center"/>
      <w:outlineLvl w:val="1"/>
    </w:pPr>
    <w:rPr>
      <w:b/>
      <w:lang w:val="en-US" w:eastAsia="zh-CN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 w:val="true"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pelle" w:customStyle="1">
    <w:name w:val="spelle"/>
    <w:basedOn w:val="DefaultParagraphFont"/>
    <w:qFormat/>
    <w:rPr/>
  </w:style>
  <w:style w:type="character" w:styleId="Style8" w:customStyle="1">
    <w:name w:val="註解方塊文字 字元"/>
    <w:semiHidden/>
    <w:qFormat/>
    <w:rPr>
      <w:rFonts w:ascii="Cambria" w:hAnsi="Cambria" w:eastAsia="新細明體" w:cs="Times New Roman"/>
      <w:sz w:val="18"/>
      <w:szCs w:val="18"/>
      <w:lang w:val="en-GB" w:eastAsia="en-US"/>
    </w:rPr>
  </w:style>
  <w:style w:type="character" w:styleId="Pagenumber">
    <w:name w:val="page number"/>
    <w:basedOn w:val="DefaultParagraphFont"/>
    <w:semiHidden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" w:customStyle="1">
    <w:name w:val="標題1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 w:customStyle="1">
    <w:name w:val="索引"/>
    <w:basedOn w:val="Normal"/>
    <w:qFormat/>
    <w:pPr>
      <w:suppressLineNumbers/>
    </w:pPr>
    <w:rPr>
      <w:rFonts w:cs="Noto Sans Devanagari"/>
    </w:rPr>
  </w:style>
  <w:style w:type="paragraph" w:styleId="Caption11" w:customStyle="1">
    <w:name w:val="caption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1" w:customStyle="1">
    <w:name w:val="caption1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Caption1111" w:customStyle="1">
    <w:name w:val="caption11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2" w:customStyle="1">
    <w:name w:val="字元 字元2 字元 字元 字元 字元 字元 字元 字元 字元 字元"/>
    <w:basedOn w:val="Normal"/>
    <w:semiHidden/>
    <w:qFormat/>
    <w:pPr/>
    <w:rPr>
      <w:rFonts w:ascii="Book Antiqua" w:hAnsi="Book Antiqua" w:eastAsia="標楷體"/>
      <w:kern w:val="2"/>
      <w:sz w:val="28"/>
      <w:szCs w:val="28"/>
      <w:lang w:val="en-US" w:eastAsia="zh-TW"/>
    </w:rPr>
  </w:style>
  <w:style w:type="paragraph" w:styleId="Style10" w:customStyle="1">
    <w:name w:val="表格"/>
    <w:basedOn w:val="Normal"/>
    <w:qFormat/>
    <w:pPr>
      <w:spacing w:before="40" w:after="40"/>
    </w:pPr>
    <w:rPr/>
  </w:style>
  <w:style w:type="paragraph" w:styleId="Style11" w:customStyle="1">
    <w:name w:val="頁首與頁尾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PTableTitle" w:customStyle="1">
    <w:name w:val="HP_Table_Title"/>
    <w:basedOn w:val="Normal"/>
    <w:next w:val="Normal"/>
    <w:qFormat/>
    <w:pPr>
      <w:keepNext w:val="true"/>
      <w:keepLines/>
      <w:spacing w:before="240" w:after="60"/>
    </w:pPr>
    <w:rPr>
      <w:b/>
      <w:sz w:val="18"/>
    </w:rPr>
  </w:style>
  <w:style w:type="paragraph" w:styleId="HPInternal" w:customStyle="1">
    <w:name w:val="HP_Internal"/>
    <w:basedOn w:val="Normal"/>
    <w:next w:val="Normal"/>
    <w:qFormat/>
    <w:pPr/>
    <w:rPr>
      <w:i/>
      <w:sz w:val="18"/>
    </w:rPr>
  </w:style>
  <w:style w:type="paragraph" w:styleId="TableSmall" w:customStyle="1">
    <w:name w:val="Table_Small"/>
    <w:basedOn w:val="Style10"/>
    <w:qFormat/>
    <w:pPr/>
    <w:rPr>
      <w:sz w:val="16"/>
    </w:rPr>
  </w:style>
  <w:style w:type="paragraph" w:styleId="TableSmHeading" w:customStyle="1">
    <w:name w:val="Table_Sm_Heading"/>
    <w:basedOn w:val="TableHeading"/>
    <w:qFormat/>
    <w:pPr>
      <w:spacing w:before="60" w:after="0"/>
    </w:pPr>
    <w:rPr>
      <w:sz w:val="16"/>
    </w:rPr>
  </w:style>
  <w:style w:type="paragraph" w:styleId="TableHeading" w:customStyle="1">
    <w:name w:val="Table_Heading"/>
    <w:basedOn w:val="Normal"/>
    <w:next w:val="Style10"/>
    <w:qFormat/>
    <w:pPr>
      <w:keepNext w:val="true"/>
      <w:keepLines/>
      <w:spacing w:before="40" w:after="40"/>
    </w:pPr>
    <w:rPr>
      <w:b/>
    </w:rPr>
  </w:style>
  <w:style w:type="paragraph" w:styleId="Numberedlist21" w:customStyle="1">
    <w:name w:val="Numbered list 2.1"/>
    <w:basedOn w:val="Heading1"/>
    <w:next w:val="Normal"/>
    <w:qFormat/>
    <w:pPr>
      <w:numPr>
        <w:ilvl w:val="0"/>
        <w:numId w:val="1"/>
      </w:numPr>
      <w:tabs>
        <w:tab w:val="left" w:pos="720" w:leader="none"/>
      </w:tabs>
    </w:pPr>
    <w:rPr/>
  </w:style>
  <w:style w:type="paragraph" w:styleId="TableSmHeadingRight" w:customStyle="1">
    <w:name w:val="Table_Sm_Heading_Right"/>
    <w:basedOn w:val="TableSmHeading"/>
    <w:qFormat/>
    <w:pPr>
      <w:jc w:val="right"/>
    </w:pPr>
    <w:rPr/>
  </w:style>
  <w:style w:type="paragraph" w:styleId="TableMedium" w:customStyle="1">
    <w:name w:val="Table_Medium"/>
    <w:basedOn w:val="Style10"/>
    <w:qFormat/>
    <w:pPr/>
    <w:rPr>
      <w:sz w:val="18"/>
    </w:rPr>
  </w:style>
  <w:style w:type="paragraph" w:styleId="11" w:customStyle="1">
    <w:name w:val="註解方塊文字1"/>
    <w:basedOn w:val="Normal"/>
    <w:semiHidden/>
    <w:unhideWhenUsed/>
    <w:qFormat/>
    <w:pPr/>
    <w:rPr>
      <w:rFonts w:ascii="Cambria" w:hAnsi="Cambria" w:eastAsia="新細明體"/>
      <w:sz w:val="18"/>
      <w:szCs w:val="18"/>
    </w:rPr>
  </w:style>
  <w:style w:type="paragraph" w:styleId="TOC2">
    <w:name w:val="TOC 2"/>
    <w:basedOn w:val="Normal"/>
    <w:next w:val="Normal"/>
    <w:semiHidden/>
    <w:pPr>
      <w:tabs>
        <w:tab w:val="clear" w:pos="720"/>
        <w:tab w:val="right" w:pos="8640" w:leader="dot"/>
      </w:tabs>
      <w:ind w:left="200" w:hanging="0"/>
    </w:pPr>
    <w:rPr>
      <w:rFonts w:ascii="Arial" w:hAnsi="Arial" w:eastAsia="新細明體"/>
      <w:smallCaps/>
      <w:lang w:val="en-US" w:eastAsia="zh-TW"/>
    </w:rPr>
  </w:style>
  <w:style w:type="paragraph" w:styleId="Table1" w:customStyle="1">
    <w:name w:val="table1"/>
    <w:basedOn w:val="Normal"/>
    <w:qFormat/>
    <w:pPr/>
    <w:rPr>
      <w:rFonts w:ascii="Arial" w:hAnsi="Arial" w:eastAsia="新細明體"/>
      <w:lang w:val="en-US" w:eastAsia="zh-TW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73524"/>
    <w:pPr>
      <w:ind w:left="480" w:hanging="0"/>
    </w:pPr>
    <w:rPr/>
  </w:style>
  <w:style w:type="paragraph" w:styleId="Revision">
    <w:name w:val="Revision"/>
    <w:uiPriority w:val="99"/>
    <w:semiHidden/>
    <w:qFormat/>
    <w:rsid w:val="003e50b9"/>
    <w:pPr>
      <w:widowControl/>
      <w:suppressAutoHyphens w:val="true"/>
      <w:bidi w:val="0"/>
      <w:spacing w:before="0" w:after="0"/>
      <w:jc w:val="left"/>
    </w:pPr>
    <w:rPr>
      <w:rFonts w:ascii="Futura Bk" w:hAnsi="Futura Bk" w:eastAsia="SimSun" w:cs="Poppins"/>
      <w:color w:val="auto"/>
      <w:kern w:val="0"/>
      <w:sz w:val="20"/>
      <w:szCs w:val="20"/>
      <w:lang w:eastAsia="en-US" w:val="en-GB" w:bidi="ar-SA"/>
    </w:rPr>
  </w:style>
  <w:style w:type="paragraph" w:styleId="Style12" w:customStyle="1">
    <w:name w:val="表格內容"/>
    <w:basedOn w:val="Normal"/>
    <w:qFormat/>
    <w:pPr>
      <w:widowControl w:val="false"/>
      <w:suppressLineNumbers/>
    </w:pPr>
    <w:rPr/>
  </w:style>
  <w:style w:type="paragraph" w:styleId="Style13" w:customStyle="1">
    <w:name w:val="表格標題"/>
    <w:basedOn w:val="Style12"/>
    <w:qFormat/>
    <w:pPr>
      <w:jc w:val="center"/>
    </w:pPr>
    <w:rPr>
      <w:b/>
      <w:bCs/>
    </w:rPr>
  </w:style>
  <w:style w:type="paragraph" w:styleId="ListNumber">
    <w:name w:val="List Number"/>
    <w:basedOn w:val="Normal"/>
    <w:uiPriority w:val="99"/>
    <w:unhideWhenUsed/>
    <w:rsid w:val="00796aba"/>
    <w:pPr>
      <w:numPr>
        <w:ilvl w:val="0"/>
        <w:numId w:val="5"/>
      </w:numPr>
      <w:spacing w:before="0" w:after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1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4">
    <w:name w:val="Table Grid"/>
    <w:basedOn w:val="a2"/>
    <w:uiPriority w:val="59"/>
    <w:rsid w:val="00d049d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<Relationship Id="rId14" Type="http://schemas.openxmlformats.org/officeDocument/2006/relationships/customXml" Target="../customXml/item5.xml"/>
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tfZx209LjwgttwrrjPdAexkoZ7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JaWQuZ2pkZ3hzMgppZC4xZm9iOXRlMgppZC4zem55c2g3OAByITEzOFFPenE4NVp0cVpmbDVYNnprSlQyR25aSXoxeFkxTA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737DD3B478A13543BC5E14562D76506E" ma:contentTypeVersion="11" ma:contentTypeDescription="建立新的文件。" ma:contentTypeScope="" ma:versionID="3a0131374089a3713dbecd0e8c363b06">
  <xsd:schema xmlns:xsd="http://www.w3.org/2001/XMLSchema" xmlns:xs="http://www.w3.org/2001/XMLSchema" xmlns:p="http://schemas.microsoft.com/office/2006/metadata/properties" xmlns:ns2="17ee79c5-b0e9-46d6-93b8-520cc2195388" xmlns:ns3="dce7d452-d20f-4fe5-8b1a-e2db70db6dbc" targetNamespace="http://schemas.microsoft.com/office/2006/metadata/properties" ma:root="true" ma:fieldsID="f25d165be9ad5da026a6fe255eaad9b5" ns2:_="" ns3:_="">
    <xsd:import namespace="17ee79c5-b0e9-46d6-93b8-520cc2195388"/>
    <xsd:import namespace="dce7d452-d20f-4fe5-8b1a-e2db70db6d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ee79c5-b0e9-46d6-93b8-520cc21953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影像標籤" ma:readOnly="false" ma:fieldId="{5cf76f15-5ced-4ddc-b409-7134ff3c332f}" ma:taxonomyMulti="true" ma:sspId="69ee6ddd-3533-4e5d-9f9a-d2e5a70364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e7d452-d20f-4fe5-8b1a-e2db70db6db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1697c4e-9eda-468d-a832-6b10a9f7df30}" ma:internalName="TaxCatchAll" ma:showField="CatchAllData" ma:web="dce7d452-d20f-4fe5-8b1a-e2db70db6d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e7d452-d20f-4fe5-8b1a-e2db70db6dbc" xsi:nil="true"/>
    <lcf76f155ced4ddcb4097134ff3c332f xmlns="17ee79c5-b0e9-46d6-93b8-520cc219538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1C124C7-2290-40E5-BCD5-7408C49952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ee79c5-b0e9-46d6-93b8-520cc2195388"/>
    <ds:schemaRef ds:uri="dce7d452-d20f-4fe5-8b1a-e2db70db6d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9579ED1-7D3A-43A7-89D7-910330E2E92E}">
  <ds:schemaRefs>
    <ds:schemaRef ds:uri="http://schemas.microsoft.com/office/2006/metadata/properties"/>
    <ds:schemaRef ds:uri="http://schemas.microsoft.com/office/infopath/2007/PartnerControls"/>
    <ds:schemaRef ds:uri="dce7d452-d20f-4fe5-8b1a-e2db70db6dbc"/>
    <ds:schemaRef ds:uri="17ee79c5-b0e9-46d6-93b8-520cc2195388"/>
  </ds:schemaRefs>
</ds:datastoreItem>
</file>

<file path=customXml/itemProps4.xml><?xml version="1.0" encoding="utf-8"?>
<ds:datastoreItem xmlns:ds="http://schemas.openxmlformats.org/officeDocument/2006/customXml" ds:itemID="{99B80008-5818-457F-B36C-B10348BBABC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EB99613-EC41-44AD-B694-CBB331E6C0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Application>Collabora_Office/23.05.5.4$Linux_X86_64 LibreOffice_project/1681200a96e5ffa1bee996c23ec760042f91abfa</Application>
  <AppVersion>15.0000</AppVersion>
  <Pages>17</Pages>
  <Words>4201</Words>
  <Characters>5646</Characters>
  <CharactersWithSpaces>5691</CharactersWithSpaces>
  <Paragraphs>998</Paragraphs>
  <Company>PricewaterhouseCoopers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2025-11-27T17:09:00Z</dcterms:created>
  <dc:creator>pwc</dc:creator>
  <dc:description/>
  <dc:language>en-US</dc:language>
  <cp:lastModifiedBy/>
  <dcterms:modified xsi:type="dcterms:W3CDTF">2025-12-08T06:50:10Z</dcterms:modified>
  <cp:revision>54</cp:revision>
  <dc:subject/>
  <dc:title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ContentTypeId">
    <vt:lpwstr>0x010100737DD3B478A13543BC5E14562D76506E</vt:lpwstr>
  </op:property>
  <op:property fmtid="{D5CDD505-2E9C-101B-9397-08002B2CF9AE}" pid="3" name="MediaServiceImageTags">
    <vt:lpwstr/>
  </op:property>
  <op:property fmtid="{D5CDD505-2E9C-101B-9397-08002B2CF9AE}" pid="4" name="_IPGFID">
    <vt:lpwstr>[DocID]=0F3B3834-E3E8-4944-8ECC-1B8CF64E0036</vt:lpwstr>
  </op:property>
  <op:property fmtid="{D5CDD505-2E9C-101B-9397-08002B2CF9AE}" pid="5" name="_IPGFLOW_P-DAED_E-0_FP-1_CV-FB4CA461_CN-F6FCC7EE">
    <vt:lpwstr>DPSPMK|3|408|2|0</vt:lpwstr>
  </op:property>
  <op:property fmtid="{D5CDD505-2E9C-101B-9397-08002B2CF9AE}" pid="6" name="_IPGFLOW_P-DAED_E-0_FP-2_CV-FB4CA461_CN-4B36AB20">
    <vt:lpwstr>DPSPMK|3|408|2|0</vt:lpwstr>
  </op:property>
  <op:property fmtid="{D5CDD505-2E9C-101B-9397-08002B2CF9AE}" pid="7" name="_IPGFLOW_P-DAED_E-0_FP-3_CV-FB4CA461_CN-96A072A5">
    <vt:lpwstr>DPSPMK|3|408|2|0</vt:lpwstr>
  </op:property>
  <op:property fmtid="{D5CDD505-2E9C-101B-9397-08002B2CF9AE}" pid="8" name="_IPGFLOW_P-DAED_E-0_FP-4_CV-FB4CA461_CN-EBD374FD">
    <vt:lpwstr>DPSPMK|3|408|2|0</vt:lpwstr>
  </op:property>
  <op:property fmtid="{D5CDD505-2E9C-101B-9397-08002B2CF9AE}" pid="9" name="_IPGFLOW_P-DAED_E-0_FP-5_CV-FB4CA461_CN-3645AD78">
    <vt:lpwstr>DPSPMK|3|408|2|0</vt:lpwstr>
  </op:property>
  <op:property fmtid="{D5CDD505-2E9C-101B-9397-08002B2CF9AE}" pid="10" name="_IPGFLOW_P-DAED_E-0_FP-6_CV-1748F583_CN-F1D06941">
    <vt:lpwstr>DPSPMK|3|384|2|0</vt:lpwstr>
  </op:property>
  <op:property fmtid="{D5CDD505-2E9C-101B-9397-08002B2CF9AE}" pid="11" name="_IPGFLOW_P-DAED_E-0_FP-7_CV-1748F583_CN-2C46B0C4">
    <vt:lpwstr>DPSPMK|3|384|2|0</vt:lpwstr>
  </op:property>
  <op:property fmtid="{D5CDD505-2E9C-101B-9397-08002B2CF9AE}" pid="12" name="_IPGFLOW_P-DAED_E-0_FP-8_CV-655D092D_CN-12D2A99B">
    <vt:lpwstr>DPSPMK|3|536|3|0</vt:lpwstr>
  </op:property>
  <op:property fmtid="{D5CDD505-2E9C-101B-9397-08002B2CF9AE}" pid="13" name="_IPGFLOW_P-DAED_E-1_FP-1_SP-1_CV-14BB2E0C_CN-8E294F5A">
    <vt:lpwstr>0PAAqZri9EF2WCiMb3eti1Qhla1BX5/VsQgq082FQIKO0DG7cjGkkdo185yVOVAw+Gh0kaIkDdVOMlf+I9LYAdU+2palWKjQ6w9MxSI4BMk4mTQbPrTLafnJJb9ALiqGyZC1loOp6+CzUD3pqtP79mjF3lHFPjiQVrQSPJYfFTV9VKTguBpnRtM9YlJbotzeBU98Blia4tDLEHRF9pHe5HqzXGyO7CH4slaXD4mfzVIxzDgmzM/HTXQ5J5+P5Gi</vt:lpwstr>
  </op:property>
  <op:property fmtid="{D5CDD505-2E9C-101B-9397-08002B2CF9AE}" pid="14" name="_IPGFLOW_P-DAED_E-1_FP-1_SP-2_CV-674D2426_CN-1D9FCE3A">
    <vt:lpwstr>fgojGPeToH6XNZWfm7q19AU2VEd7wXoqU3f9f15lhsT0XXDLrc0M/hwmc7IiJ9nlEiqEo9xX2ZKhrXEAYnDzqpSbR/D0xx7Ggeb1294xtHHPgjlbCZq+XLdQwdt/vDG3Wr5zZxhmF+MfD6jr+RDAXnQ==</vt:lpwstr>
  </op:property>
  <op:property fmtid="{D5CDD505-2E9C-101B-9397-08002B2CF9AE}" pid="15" name="_IPGFLOW_P-DAED_E-1_FP-2_SP-1_CV-C2B2F789_CN-DBF948FF">
    <vt:lpwstr>o3obW3aJOgnTKA9bxgX9+8yI1OkoyPAnEfoq4S3vombTgsFm43EEmAXM79T6LXLo45bPHEhb1Sz7ljbTqr8+8w5SzJXfgHuPRdEH2CY5CdImCjBsNK4lB2qh0lMtXQL1PqMPZv0bg9yXnvOg0PYIvLHjW2RH5/ITth38eQsnnI0wP821KrKu6V4RfOLcACIROtiCNz9zbTzMaIy83WBStcZrJ3dBChv2KpVAkM/rY4AD+biB7xy63ARC9d8CKJI</vt:lpwstr>
  </op:property>
  <op:property fmtid="{D5CDD505-2E9C-101B-9397-08002B2CF9AE}" pid="16" name="_IPGFLOW_P-DAED_E-1_FP-2_SP-2_CV-7CC99921_CN-754C7F08">
    <vt:lpwstr>ilaSX5aSiqm99+G/Qj4CXb8NLsFx7gqttW/xeqDFJ8St+621oLh556StAyfNnyv2mXBwz1fVoePv0R8ZhIRU9vT5xGKmrfgPR/Oj7VAjna29vwB5gbpdZ0w7M/ZAEHMgSSphgNUeUA/OCjaIDgpOPEA==</vt:lpwstr>
  </op:property>
  <op:property fmtid="{D5CDD505-2E9C-101B-9397-08002B2CF9AE}" pid="17" name="_IPGFLOW_P-DAED_E-1_FP-3_SP-1_CV-9791BED1_CN-28004E92">
    <vt:lpwstr>gY7ZphPtdBc8wnN3u5KLBB9sa37rqMWYy18t/9WpacLsCRk/+q4VywYF3aQb0y5YQ9ahr0r32zMmdKWmyo28kna0rlBF8obuE1pSSL1y8dmOE22YNq2VgT66SFvpyfEpaP8wlpZY2o/XM6STbNvQ8AjOsoP8CMMR2RHZrpdxEWh9zuO68VA53LwO/RNzs2TqKg24nHL/fTsj0ACN0A0puxcg9wfssu2SKtbuxXHCphSKwzIBU/t/m0U0Py3qLEr</vt:lpwstr>
  </op:property>
  <op:property fmtid="{D5CDD505-2E9C-101B-9397-08002B2CF9AE}" pid="18" name="_IPGFLOW_P-DAED_E-1_FP-3_SP-2_CV-18211E85_CN-27CD4452">
    <vt:lpwstr>nc3LPQn9aHMGTRWr6wbt+0zswsLeFJQZly5Btx7yX+E+55r37SmVtMaQCOvlklQ/cAyvHvgYi0qZ31pyPiAiBnskHpG6WY8X/NLwywz7fsAd/VcLqtzMbstTsLh1Xjwj4LZbaJ7XB3gItiFfV3Q9GzA==</vt:lpwstr>
  </op:property>
  <op:property fmtid="{D5CDD505-2E9C-101B-9397-08002B2CF9AE}" pid="19" name="_IPGFLOW_P-DAED_E-1_FP-4_SP-1_CV-80129FCE_CN-CD81387D">
    <vt:lpwstr>gY7ZphPtdBc8wnN3u5KLBBNxxSyZWxXA6NkSNqJDgWx1UKvlH9Co+3PPLvjrTlAG0kaBln9lSFT/EMbnqHmYHcwSkBeXya9RcVtTYDGqMfOggMhp0fZ+RTTLO2BnXI8lf6fzurlXPBPOwg02aT5wwkv6+PUi0qUshfGTDi4+D1euaHMl28M8e+2gTjl3R19jGMvhWGFhkaI+HE+Q/yuuNwHyBsB8orgh0jcjbiK+iyN6fKwakF1HBK8Xiuf6yk8</vt:lpwstr>
  </op:property>
  <op:property fmtid="{D5CDD505-2E9C-101B-9397-08002B2CF9AE}" pid="20" name="_IPGFLOW_P-DAED_E-1_FP-4_SP-2_CV-698AC636_CN-DF64B95D">
    <vt:lpwstr>/4HSAsNtQkws6m+QNzJrhIfbQwtMS1SJoD83xbObmlsuKGTZPa6MQA57TWOWwmGymppqwAB8JaqBCshXs77pcaiYyADm1KwRhdMeLVf147ynJNEYdJ4qwbhJdUettGKB+QR/B2nq+lcuIWwNzP07cwg==</vt:lpwstr>
  </op:property>
  <op:property fmtid="{D5CDD505-2E9C-101B-9397-08002B2CF9AE}" pid="21" name="_IPGFLOW_P-DAED_E-1_FP-5_SP-1_CV-302F6FB4_CN-9305C6D6">
    <vt:lpwstr>gY7ZphPtdBc8wnN3u5KLBLaz8uIzJfFZoeSzHA0WPJqKk0wPzSh1EmpBYoED6iCLN5vicVC2npd22/mgH3k5Rz9ttBvKzcRHjKvqJh9vUGQXYRAThG7T1zXE5mKxk5PPvlag/kSHbBrRQ2O+NTlI8qMQGZ8mhQojRZoAMLoYjVbIt69+TqHvpZWh9jVE815NQCbynO9tGtEqqwnX7+0YwjPRopy1MJ8CZXZzGP6OjP5m56J+bKSQkZVA12GMkeK</vt:lpwstr>
  </op:property>
  <op:property fmtid="{D5CDD505-2E9C-101B-9397-08002B2CF9AE}" pid="22" name="_IPGFLOW_P-DAED_E-1_FP-5_SP-2_CV-CC2D3441_CN-4C7BC4AD">
    <vt:lpwstr>cnfEoZPiHx/fHKYSceUucjk2/A42UBtHcfloy8W4DYDqrGqWzS1Ft8HE8kcTw44B9QEh0lTiGHV2kfL3po7qqMs2tWrnaJIbfZ2s8nGR8e/LoIFAZB8WA0JrGIS6YmQMi+LIT7L6GdCu0LL7vucyrCg==</vt:lpwstr>
  </op:property>
  <op:property fmtid="{D5CDD505-2E9C-101B-9397-08002B2CF9AE}" pid="23" name="_IPGFLOW_P-DAED_E-1_FP-6_SP-1_CV-3F684FB0_CN-862CEE8F">
    <vt:lpwstr>Jusm+g0A+9OUwh3PEu9DgnBuVDLSwHVRlrD8RImR6Fj0wxz03ayxpL3Hp6Dw0NTrylWRoRppcypnRSDUvzAkx3H3Plq5AbK7DVndQc4cMaYUqgXKVhrROlUUzWGNcNyWUPQU5R6T7aJejEiXDbMqJ7UDmFba3sPv835ZpnUqiOx63UNWueFJWwVSVpqw/gQ1tC5upe4bvSVyMzLnudzTd7rlMF2aaK2GragRbkXS4w7cwTdDLApImvsYPQVi6gY</vt:lpwstr>
  </op:property>
  <op:property fmtid="{D5CDD505-2E9C-101B-9397-08002B2CF9AE}" pid="24" name="_IPGFLOW_P-DAED_E-1_FP-6_SP-2_CV-EA117481_CN-637CC42B">
    <vt:lpwstr>BSErejAk3oMXbnfL5mGJ9rtF2HzL7YNeGMamS9XCIkJ8YhN0AGp9Nxtr1h0fyjkGx2kxeM5fcWtsZOW9ZkgCCWzaT3tcpda+pr5DXgpdRYUDU+JTmzybm1TzlA4ieKhPG</vt:lpwstr>
  </op:property>
  <op:property fmtid="{D5CDD505-2E9C-101B-9397-08002B2CF9AE}" pid="25" name="_IPGFLOW_P-DAED_E-1_FP-7_SP-1_CV-69E66F2A_CN-AB0CC711">
    <vt:lpwstr>Jusm+g0A+9OUwh3PEu9DgpWN9BkkGETUN1H1LMhdXIIR19ZdrShXg3TS/f+9OUDMqpF1ttVCPSYT9VJ0xNBuEXLe6RmV8OQMl5zbrdJrtjOJO0IZo/vAzU6n8MAR1FYw6xyMdJChzzjaCqjtA1Xlvl0uk4FGkQ+Hk5nE+QBQSHoYzqKuQnQuAg7SqOTKAzVzcbzH3zMbXcfCDlQzp7MyM4RGep4RXN/cbcmYfgw2PgdvEYcq97zN1pzlvCLmnbL</vt:lpwstr>
  </op:property>
  <op:property fmtid="{D5CDD505-2E9C-101B-9397-08002B2CF9AE}" pid="26" name="_IPGFLOW_P-DAED_E-1_FP-7_SP-2_CV-6675A96D_CN-5C878BEF">
    <vt:lpwstr>iIZO+VcDRyjJcfiQAbOoQpk3LqfNAFY8vEL2pHaBggRi406ZeEE6JFPT/2TGCQsfoitxByYqcoTRkqIPIkk5NsVhddHl5xbsFfnW/p34FRt7adaZPDKtEfsz5kmyAVgOm</vt:lpwstr>
  </op:property>
  <op:property fmtid="{D5CDD505-2E9C-101B-9397-08002B2CF9AE}" pid="27" name="_IPGFLOW_P-DAED_E-1_FP-8_SP-1_CV-75A1C80C_CN-A17E81CF">
    <vt:lpwstr>Jusm+g0A+9OUwh3PEu9DgkM6Pd69Xzc1Z7BY0/ocBeR0NaXl+pa5YNAO5A63MZQWFFprJWVyk0n5jnGjWf7yZRbE+eUomq+KcgjocSnro59loQKjUY7oLAC/7Apm2TDAIqwaadGSUcZ1LAjer7SsqEskAkxCvqzrkQAGJYIaxS5mCO3j7TLkNwM76hsd9DK/E2K9p+5FhOkpHYmKY8QwomKh1AiLeSzik5ec86HP5Lc+f4JUt8x1lG1x/nr2lEC</vt:lpwstr>
  </op:property>
  <op:property fmtid="{D5CDD505-2E9C-101B-9397-08002B2CF9AE}" pid="28" name="_IPGFLOW_P-DAED_E-1_FP-8_SP-2_CV-7B37E17D_CN-74E3DF9">
    <vt:lpwstr>mHy8hBcRODfrW0YVfL2c6YgFaUMwtwqrZGEitP1mUWecN6lBNaqPYRwZWamdagz7X8gbwGhGcbnAw/wuAIFTMIbtpc55Hhz01Evb6IoMCMAjPlvmonIpU9jcqgHACwLQM8fCOJS139uxgNH7uszF3mAvwviRVeYfAieQHefsLOT00EJssdoOzCcOJ+EjMmxbjneB5Z4GoYSvyNOiR7mhogL0koGMl3VCXM1XZucd9z7FAPEWYPHo332e2aHMBfT</vt:lpwstr>
  </op:property>
  <op:property fmtid="{D5CDD505-2E9C-101B-9397-08002B2CF9AE}" pid="29" name="_IPGFLOW_P-DAED_E-1_FP-8_SP-3_CV-4499922_CN-F76671A2">
    <vt:lpwstr>T6j7w70/xZXlTvwbKBtvB5lw==</vt:lpwstr>
  </op:property>
  <op:property fmtid="{D5CDD505-2E9C-101B-9397-08002B2CF9AE}" pid="30" name="_IPGFLOW_P-DAED_E-1_FP-9_SP-1_CV-86E10BE8_CN-8806BAFA">
    <vt:lpwstr>Jusm+g0A+9OUwh3PEu9DgnYsPxWGOvjVnNe5HHCyIJY+ppfpa5tCkP6J15yeSBEyNttK9hp4OepfrFDFHVZsyVzjPzoZLTdx5atK2qm3Nk5HMq7nKgacrctpDbxxJYpxZZfpnmdq7Gv0WZvWvPNUE4UTWIlFcMUTmd+rsTCKmwxC42pku9B9XJw9ISY0ECCFbO02TMPkgyqHKH+CgLdQx9+RXgGlYxeCLVsW8DTDypp+y/IyJtGzo2xRtadYvCz</vt:lpwstr>
  </op:property>
  <op:property fmtid="{D5CDD505-2E9C-101B-9397-08002B2CF9AE}" pid="31" name="_IPGFLOW_P-DAED_E-1_FP-9_SP-2_CV-DA197F62_CN-3926EB16">
    <vt:lpwstr>hd3yJPiZcxqQ97GoVegPqMV4wzPURBiNXItpR1CZdp5T5AAxgDdpI7orSN/bK2+mY7eXYCBi3SFWHozNglo/ejfetWLYePxR92mouZxtfy27ulU4LbylcNRpdSh71g+Wh</vt:lpwstr>
  </op:property>
  <op:property fmtid="{D5CDD505-2E9C-101B-9397-08002B2CF9AE}" pid="32" name="_IPGFLOW_P-DAED_E-0_FP-9_CV-1748F583_CN-D6A0BC74">
    <vt:lpwstr>DPSPMK|3|384|2|0</vt:lpwstr>
  </op:property>
  <op:property fmtid="{D5CDD505-2E9C-101B-9397-08002B2CF9AE}" pid="33" name="_IPGFLOW_P-DAED_E-0_CV-78A357D3_CN-86694B9F">
    <vt:lpwstr>DPFPMK|3|50|10|0</vt:lpwstr>
  </op:property>
  <op:property fmtid="{D5CDD505-2E9C-101B-9397-08002B2CF9AE}" pid="34" name="_IPGFLOW_P-DAED_E-1_FP-A_SP-1_CV-6CB99421_CN-E4461A84">
    <vt:lpwstr>Jusm+g0A+9OUwh3PEu9Dgh8fNxEzTnZ6aR8Knnzjez1WPQJkdPVfZPIlnyXIYN61RbJDv9xW780JMZ4DiPOJJjhkEJE6z60vbnu82AXFc8VbsnE9FUg0aQJhSHg1YZQhCRTdMk51feeqWK6Ipeu0yNVr9dYZotd8AI+kE8KaG9fekk0y+J3RXKUo4VxnruLaYlkSQgl9c4pXz37ZD45WT5w0Y7Of6NMRsoBug5Rlref4QbPVrchiwAgbSfQpZOn</vt:lpwstr>
  </op:property>
  <op:property fmtid="{D5CDD505-2E9C-101B-9397-08002B2CF9AE}" pid="35" name="_IPGFLOW_P-DAED_E-1_FP-A_SP-2_CV-7E2F62F5_CN-96862D3E">
    <vt:lpwstr>WfuMogwQVXfcW/Xv5dHDIwB6vpMLhauBtXhWnfruSIKxZbJ+OJYPhHEwX3+9eFyaCo6MCVYS6AnALuavWhd79eLGfqA2FSy/koHNW+t3vburLk59AHg6xWAryhhYWN9A/qk5ljKUkUFMN19U/Wbiq3w==</vt:lpwstr>
  </op:property>
  <op:property fmtid="{D5CDD505-2E9C-101B-9397-08002B2CF9AE}" pid="36" name="_IPGFLOW_P-DAED_E-0_FP-A_CV-FB4CA461_CN-4C08BB6A">
    <vt:lpwstr>DPSPMK|3|408|2|0</vt:lpwstr>
  </op:property>
</op:Properties>
</file>