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FX Payment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1.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Customer FX Payment booked 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.1 Scenario 1: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Customer FX Payment initiated via Channel,transfer from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val="en-US" w:eastAsia="zh-CN" w:bidi="ar"/>
        </w:rPr>
        <w:t>SGD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client account to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val="en-US" w:eastAsia="zh-CN" w:bidi="ar"/>
        </w:rPr>
        <w:t>USD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client account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account 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1: Customer book FX Payment via Channel </w:t>
      </w:r>
    </w:p>
    <w:p>
      <w:pP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${picture1}</w:t>
      </w:r>
    </w:p>
    <w:p>
      <w:pP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${picture2}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${picture3}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${picture4}</w:t>
      </w:r>
    </w:p>
    <w:p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${picture5}</w:t>
      </w:r>
    </w:p>
    <w:p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${picture6}</w:t>
      </w:r>
    </w:p>
    <w:p>
      <w:pP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${picture7}</w:t>
      </w:r>
    </w:p>
    <w:p>
      <w:pP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${picture8}</w:t>
      </w:r>
    </w:p>
    <w:tbl>
      <w:tblPr>
        <w:tblStyle w:val="3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${picture9}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${picture10}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Outgoing MT103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Based on the Customer FX payment, MT103 is generated. For payment, this is automatically routed to our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preferred correspondent bank for USD (which is DBS Bank). This is set-up in PP Correspondence Bank.</w:t>
      </w:r>
    </w:p>
    <w:p>
      <w:pPr>
        <w:rPr>
          <w:rFonts w:hint="eastAsia"/>
          <w:lang w:eastAsia="zh-CN"/>
        </w:rPr>
      </w:pP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${picture11}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5: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To search for Forex record, go to FOREX application to search for live records using FT Number </w:t>
      </w:r>
    </w:p>
    <w:p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${picture12}</w:t>
      </w:r>
    </w:p>
    <w:p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${picture13}</w:t>
      </w:r>
    </w:p>
    <w:p>
      <w:pPr>
        <w:rPr>
          <w:rFonts w:hint="default"/>
          <w:lang w:val="en-US"/>
        </w:rPr>
      </w:pP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${picture14</w:t>
      </w:r>
      <w:bookmarkStart w:id="0" w:name="_GoBack"/>
      <w:bookmarkEnd w:id="0"/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}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wN2U3OTc0MGM3OWZhNzUyOWE2ZGY3OTdjMDU1ODQifQ=="/>
  </w:docVars>
  <w:rsids>
    <w:rsidRoot w:val="00000000"/>
    <w:rsid w:val="0B1D7C23"/>
    <w:rsid w:val="0C055450"/>
    <w:rsid w:val="0E1F0143"/>
    <w:rsid w:val="0EC62DF6"/>
    <w:rsid w:val="1AD0727F"/>
    <w:rsid w:val="36261C30"/>
    <w:rsid w:val="3FA36F64"/>
    <w:rsid w:val="40C51BAF"/>
    <w:rsid w:val="447855A7"/>
    <w:rsid w:val="450471A9"/>
    <w:rsid w:val="47135B56"/>
    <w:rsid w:val="488B5C2F"/>
    <w:rsid w:val="4D294D99"/>
    <w:rsid w:val="582661D9"/>
    <w:rsid w:val="5A7E31E6"/>
    <w:rsid w:val="5A8B5893"/>
    <w:rsid w:val="68ED1F3B"/>
    <w:rsid w:val="6BF15F36"/>
    <w:rsid w:val="737C09E9"/>
    <w:rsid w:val="79B2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230</Words>
  <Characters>1312</Characters>
  <Lines>0</Lines>
  <Paragraphs>0</Paragraphs>
  <TotalTime>0</TotalTime>
  <ScaleCrop>false</ScaleCrop>
  <LinksUpToDate>false</LinksUpToDate>
  <CharactersWithSpaces>1499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2022-08-15T05:04:00Z</dcterms:created>
  <dc:creator>Administrator</dc:creator>
  <cp:lastModifiedBy>star</cp:lastModifiedBy>
  <dcterms:modified xsi:type="dcterms:W3CDTF">2022-08-26T01:29:06Z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1581D35068794996BD9398FB82918C58</vt:lpwstr>
  </property>
</Properties>
</file>