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thuyết trình FinSight AI</w:t>
      </w:r>
    </w:p>
    <w:p>
      <w:pPr>
        <w:pStyle w:val="Subtitle"/>
      </w:pPr>
      <w:r>
        <w:t>Nội dung trình bày và giải thích thêm cho 17 slide</w:t>
      </w:r>
    </w:p>
    <w:p>
      <w:pPr/>
      <w:r>
        <w:t>Tài liệu lời thuyết trình bổ sung cho bộ 17 slide FinSight AI. Mỗi slide có lời trình bày chính, phần giải thích thêm có thể chọn khi cần và câu chuyển ý để các thành viên phối hợp tự nhiên.</w:t>
      </w:r>
    </w:p>
    <w:p>
      <w:pPr>
        <w:pStyle w:val="Heading3"/>
      </w:pPr>
      <w:r>
        <w:t>Cách sử dụng</w:t>
      </w:r>
    </w:p>
    <w:p>
      <w:pPr/>
      <w:r>
        <w:t>Đọc phần Lời nói chính theo thứ tự slide, kết hợp chỉ vào hình, bảng hoặc biểu đồ đang hiển thị.</w:t>
      </w:r>
    </w:p>
    <w:p>
      <w:pPr/>
      <w:r>
        <w:t>Phần Nói thêm là nội dung tự chọn. Chỉ bổ sung khi còn thời gian hoặc cần làm rõ một khái niệm.</w:t>
      </w:r>
    </w:p>
    <w:p>
      <w:pPr/>
      <w:r>
        <w:t>Các câu chuyển ý giúp kết nối nội dung và nhường lời cho người tiếp theo; có thể điều chỉnh cách xưng hô cho tự nhiên.</w:t>
      </w:r>
    </w:p>
    <w:p>
      <w:pPr/>
      <w:r>
        <w:t>Số liệu mô hình và kiểm thử được trình bày theo mốc ngày 14/10/2026; dữ liệu đánh giá chủ yếu là dữ liệu tổng hợp.</w:t>
      </w:r>
    </w:p>
    <w:p>
      <w:pPr>
        <w:pStyle w:val="Heading3"/>
      </w:pPr>
      <w:r>
        <w:t>Phân chia phần trình bày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1"/>
        <w:gridCol w:w="1814"/>
        <w:gridCol w:w="5272"/>
      </w:tblGrid>
      <w:tr>
        <w:trPr>
          <w:tblHeader/>
        </w:trPr>
        <w:tc>
          <w:tcPr>
            <w:tcW w:type="dxa" w:w="2551"/>
            <w:vAlign w:val="center"/>
            <w:tcMar>
              <w:top w:w="110" w:type="dxa"/>
              <w:left w:w="110" w:type="dxa"/>
              <w:bottom w:w="110" w:type="dxa"/>
              <w:right w:w="110" w:type="dxa"/>
            </w:tcMar>
            <w:shd w:fill="173344"/>
          </w:tcPr>
          <w:p>
            <w:pPr>
              <w:spacing w:before="0" w:after="0" w:line="259" w:lineRule="auto"/>
              <w:jc w:val="left"/>
            </w:pPr>
            <w:r>
              <w:rPr>
                <w:rFonts w:ascii="Arial" w:hAnsi="Arial"/>
                <w:b/>
                <w:color w:val="FFFFFF"/>
                <w:sz w:val="24"/>
              </w:rPr>
              <w:t>Thành viên</w:t>
            </w:r>
          </w:p>
        </w:tc>
        <w:tc>
          <w:tcPr>
            <w:tcW w:type="dxa" w:w="1814"/>
            <w:vAlign w:val="center"/>
            <w:tcMar>
              <w:top w:w="110" w:type="dxa"/>
              <w:left w:w="110" w:type="dxa"/>
              <w:bottom w:w="110" w:type="dxa"/>
              <w:right w:w="110" w:type="dxa"/>
            </w:tcMar>
            <w:shd w:fill="173344"/>
          </w:tcPr>
          <w:p>
            <w:pPr>
              <w:spacing w:before="0" w:after="0" w:line="259" w:lineRule="auto"/>
              <w:jc w:val="center"/>
            </w:pPr>
            <w:r>
              <w:rPr>
                <w:rFonts w:ascii="Arial" w:hAnsi="Arial"/>
                <w:b/>
                <w:color w:val="FFFFFF"/>
                <w:sz w:val="24"/>
              </w:rPr>
              <w:t>Slide</w:t>
            </w:r>
          </w:p>
        </w:tc>
        <w:tc>
          <w:tcPr>
            <w:tcW w:type="dxa" w:w="5272"/>
            <w:vAlign w:val="center"/>
            <w:tcMar>
              <w:top w:w="110" w:type="dxa"/>
              <w:left w:w="110" w:type="dxa"/>
              <w:bottom w:w="110" w:type="dxa"/>
              <w:right w:w="110" w:type="dxa"/>
            </w:tcMar>
            <w:shd w:fill="173344"/>
          </w:tcPr>
          <w:p>
            <w:pPr>
              <w:spacing w:before="0" w:after="0" w:line="259" w:lineRule="auto"/>
              <w:jc w:val="left"/>
            </w:pPr>
            <w:r>
              <w:rPr>
                <w:rFonts w:ascii="Arial" w:hAnsi="Arial"/>
                <w:b/>
                <w:color w:val="FFFFFF"/>
                <w:sz w:val="24"/>
              </w:rPr>
              <w:t>Nội dung</w:t>
            </w:r>
          </w:p>
        </w:tc>
      </w:tr>
      <w:tr>
        <w:tc>
          <w:tcPr>
            <w:tcW w:type="dxa" w:w="2551"/>
            <w:vAlign w:val="center"/>
            <w:tcMar>
              <w:top w:w="110" w:type="dxa"/>
              <w:left w:w="110" w:type="dxa"/>
              <w:bottom w:w="110" w:type="dxa"/>
              <w:right w:w="110" w:type="dxa"/>
            </w:tcMar>
            <w:shd w:fill="FFFFFF"/>
          </w:tcPr>
          <w:p>
            <w:pPr>
              <w:spacing w:before="0" w:after="0" w:line="259" w:lineRule="auto"/>
              <w:jc w:val="left"/>
            </w:pPr>
            <w:r>
              <w:rPr>
                <w:rFonts w:ascii="Arial" w:hAnsi="Arial"/>
                <w:b w:val="0"/>
                <w:color w:val="000000"/>
                <w:sz w:val="24"/>
              </w:rPr>
              <w:t>Lê Như Đỉnh</w:t>
            </w:r>
          </w:p>
        </w:tc>
        <w:tc>
          <w:tcPr>
            <w:tcW w:type="dxa" w:w="1814"/>
            <w:vAlign w:val="center"/>
            <w:tcMar>
              <w:top w:w="110" w:type="dxa"/>
              <w:left w:w="110" w:type="dxa"/>
              <w:bottom w:w="110" w:type="dxa"/>
              <w:right w:w="110" w:type="dxa"/>
            </w:tcMar>
            <w:shd w:fill="FFFFFF"/>
          </w:tcPr>
          <w:p>
            <w:pPr>
              <w:spacing w:before="0" w:after="0" w:line="259" w:lineRule="auto"/>
              <w:jc w:val="center"/>
            </w:pPr>
            <w:hyperlink w:anchor="slide_01">
              <w:r>
                <w:rPr>
                  <w:rFonts w:ascii="Arial" w:hAnsi="Arial"/>
                  <w:color w:val="000000"/>
                  <w:sz w:val="24"/>
                  <w:u w:val="single"/>
                </w:rPr>
                <w:t>01</w:t>
              </w:r>
            </w:hyperlink>
            <w:r>
              <w:rPr>
                <w:rFonts w:ascii="Arial" w:hAnsi="Arial"/>
                <w:b w:val="0"/>
                <w:color w:val="000000"/>
                <w:sz w:val="24"/>
              </w:rPr>
              <w:t xml:space="preserve">  </w:t>
            </w:r>
            <w:hyperlink w:anchor="slide_02">
              <w:r>
                <w:rPr>
                  <w:rFonts w:ascii="Arial" w:hAnsi="Arial"/>
                  <w:color w:val="000000"/>
                  <w:sz w:val="24"/>
                  <w:u w:val="single"/>
                </w:rPr>
                <w:t>02</w:t>
              </w:r>
            </w:hyperlink>
            <w:r>
              <w:rPr>
                <w:rFonts w:ascii="Arial" w:hAnsi="Arial"/>
                <w:b w:val="0"/>
                <w:color w:val="000000"/>
                <w:sz w:val="24"/>
              </w:rPr>
              <w:t xml:space="preserve">  </w:t>
            </w:r>
            <w:hyperlink w:anchor="slide_03">
              <w:r>
                <w:rPr>
                  <w:rFonts w:ascii="Arial" w:hAnsi="Arial"/>
                  <w:color w:val="000000"/>
                  <w:sz w:val="24"/>
                  <w:u w:val="single"/>
                </w:rPr>
                <w:t>03</w:t>
              </w:r>
            </w:hyperlink>
            <w:r>
              <w:rPr>
                <w:rFonts w:ascii="Arial" w:hAnsi="Arial"/>
                <w:b w:val="0"/>
                <w:color w:val="000000"/>
                <w:sz w:val="24"/>
              </w:rPr>
              <w:t xml:space="preserve">  </w:t>
            </w:r>
            <w:hyperlink w:anchor="slide_04">
              <w:r>
                <w:rPr>
                  <w:rFonts w:ascii="Arial" w:hAnsi="Arial"/>
                  <w:color w:val="000000"/>
                  <w:sz w:val="24"/>
                  <w:u w:val="single"/>
                </w:rPr>
                <w:t>04</w:t>
              </w:r>
            </w:hyperlink>
          </w:p>
        </w:tc>
        <w:tc>
          <w:tcPr>
            <w:tcW w:type="dxa" w:w="5272"/>
            <w:vAlign w:val="center"/>
            <w:tcMar>
              <w:top w:w="110" w:type="dxa"/>
              <w:left w:w="110" w:type="dxa"/>
              <w:bottom w:w="110" w:type="dxa"/>
              <w:right w:w="110" w:type="dxa"/>
            </w:tcMar>
            <w:shd w:fill="FFFFFF"/>
          </w:tcPr>
          <w:p>
            <w:pPr>
              <w:spacing w:before="0" w:after="0" w:line="259" w:lineRule="auto"/>
              <w:jc w:val="left"/>
            </w:pPr>
            <w:r>
              <w:rPr>
                <w:rFonts w:ascii="Arial" w:hAnsi="Arial"/>
                <w:b w:val="0"/>
                <w:color w:val="000000"/>
                <w:sz w:val="24"/>
              </w:rPr>
              <w:t>Bài toán và trải nghiệm sử dụng</w:t>
            </w:r>
          </w:p>
        </w:tc>
      </w:tr>
      <w:tr>
        <w:tc>
          <w:tcPr>
            <w:tcW w:type="dxa" w:w="2551"/>
            <w:vAlign w:val="center"/>
            <w:tcMar>
              <w:top w:w="110" w:type="dxa"/>
              <w:left w:w="110" w:type="dxa"/>
              <w:bottom w:w="110" w:type="dxa"/>
              <w:right w:w="110" w:type="dxa"/>
            </w:tcMar>
            <w:shd w:fill="F3F6F8"/>
          </w:tcPr>
          <w:p>
            <w:pPr>
              <w:spacing w:before="0" w:after="0" w:line="259" w:lineRule="auto"/>
              <w:jc w:val="left"/>
            </w:pPr>
            <w:r>
              <w:rPr>
                <w:rFonts w:ascii="Arial" w:hAnsi="Arial"/>
                <w:b w:val="0"/>
                <w:color w:val="000000"/>
                <w:sz w:val="24"/>
              </w:rPr>
              <w:t>Nguyễn Đức Trí</w:t>
            </w:r>
          </w:p>
        </w:tc>
        <w:tc>
          <w:tcPr>
            <w:tcW w:type="dxa" w:w="1814"/>
            <w:vAlign w:val="center"/>
            <w:tcMar>
              <w:top w:w="110" w:type="dxa"/>
              <w:left w:w="110" w:type="dxa"/>
              <w:bottom w:w="110" w:type="dxa"/>
              <w:right w:w="110" w:type="dxa"/>
            </w:tcMar>
            <w:shd w:fill="F3F6F8"/>
          </w:tcPr>
          <w:p>
            <w:pPr>
              <w:spacing w:before="0" w:after="0" w:line="259" w:lineRule="auto"/>
              <w:jc w:val="center"/>
            </w:pPr>
            <w:hyperlink w:anchor="slide_05">
              <w:r>
                <w:rPr>
                  <w:rFonts w:ascii="Arial" w:hAnsi="Arial"/>
                  <w:color w:val="000000"/>
                  <w:sz w:val="24"/>
                  <w:u w:val="single"/>
                </w:rPr>
                <w:t>05</w:t>
              </w:r>
            </w:hyperlink>
            <w:r>
              <w:rPr>
                <w:rFonts w:ascii="Arial" w:hAnsi="Arial"/>
                <w:b w:val="0"/>
                <w:color w:val="000000"/>
                <w:sz w:val="24"/>
              </w:rPr>
              <w:t xml:space="preserve">  </w:t>
            </w:r>
            <w:hyperlink w:anchor="slide_06">
              <w:r>
                <w:rPr>
                  <w:rFonts w:ascii="Arial" w:hAnsi="Arial"/>
                  <w:color w:val="000000"/>
                  <w:sz w:val="24"/>
                  <w:u w:val="single"/>
                </w:rPr>
                <w:t>06</w:t>
              </w:r>
            </w:hyperlink>
            <w:r>
              <w:rPr>
                <w:rFonts w:ascii="Arial" w:hAnsi="Arial"/>
                <w:b w:val="0"/>
                <w:color w:val="000000"/>
                <w:sz w:val="24"/>
              </w:rPr>
              <w:t xml:space="preserve">  </w:t>
            </w:r>
            <w:hyperlink w:anchor="slide_07">
              <w:r>
                <w:rPr>
                  <w:rFonts w:ascii="Arial" w:hAnsi="Arial"/>
                  <w:color w:val="000000"/>
                  <w:sz w:val="24"/>
                  <w:u w:val="single"/>
                </w:rPr>
                <w:t>07</w:t>
              </w:r>
            </w:hyperlink>
          </w:p>
        </w:tc>
        <w:tc>
          <w:tcPr>
            <w:tcW w:type="dxa" w:w="5272"/>
            <w:vAlign w:val="center"/>
            <w:tcMar>
              <w:top w:w="110" w:type="dxa"/>
              <w:left w:w="110" w:type="dxa"/>
              <w:bottom w:w="110" w:type="dxa"/>
              <w:right w:w="110" w:type="dxa"/>
            </w:tcMar>
            <w:shd w:fill="F3F6F8"/>
          </w:tcPr>
          <w:p>
            <w:pPr>
              <w:spacing w:before="0" w:after="0" w:line="259" w:lineRule="auto"/>
              <w:jc w:val="left"/>
            </w:pPr>
            <w:r>
              <w:rPr>
                <w:rFonts w:ascii="Arial" w:hAnsi="Arial"/>
                <w:b w:val="0"/>
                <w:color w:val="000000"/>
                <w:sz w:val="24"/>
              </w:rPr>
              <w:t>Kiến trúc và quản lý dữ liệu</w:t>
            </w:r>
          </w:p>
        </w:tc>
      </w:tr>
      <w:tr>
        <w:tc>
          <w:tcPr>
            <w:tcW w:type="dxa" w:w="2551"/>
            <w:vAlign w:val="center"/>
            <w:tcMar>
              <w:top w:w="110" w:type="dxa"/>
              <w:left w:w="110" w:type="dxa"/>
              <w:bottom w:w="110" w:type="dxa"/>
              <w:right w:w="110" w:type="dxa"/>
            </w:tcMar>
            <w:shd w:fill="FFFFFF"/>
          </w:tcPr>
          <w:p>
            <w:pPr>
              <w:spacing w:before="0" w:after="0" w:line="259" w:lineRule="auto"/>
              <w:jc w:val="left"/>
            </w:pPr>
            <w:r>
              <w:rPr>
                <w:rFonts w:ascii="Arial" w:hAnsi="Arial"/>
                <w:b w:val="0"/>
                <w:color w:val="000000"/>
                <w:sz w:val="24"/>
              </w:rPr>
              <w:t>Trần Minh Nhật</w:t>
            </w:r>
          </w:p>
        </w:tc>
        <w:tc>
          <w:tcPr>
            <w:tcW w:type="dxa" w:w="1814"/>
            <w:vAlign w:val="center"/>
            <w:tcMar>
              <w:top w:w="110" w:type="dxa"/>
              <w:left w:w="110" w:type="dxa"/>
              <w:bottom w:w="110" w:type="dxa"/>
              <w:right w:w="110" w:type="dxa"/>
            </w:tcMar>
            <w:shd w:fill="FFFFFF"/>
          </w:tcPr>
          <w:p>
            <w:pPr>
              <w:spacing w:before="0" w:after="0" w:line="259" w:lineRule="auto"/>
              <w:jc w:val="center"/>
            </w:pPr>
            <w:hyperlink w:anchor="slide_08">
              <w:r>
                <w:rPr>
                  <w:rFonts w:ascii="Arial" w:hAnsi="Arial"/>
                  <w:color w:val="000000"/>
                  <w:sz w:val="24"/>
                  <w:u w:val="single"/>
                </w:rPr>
                <w:t>08</w:t>
              </w:r>
            </w:hyperlink>
            <w:r>
              <w:rPr>
                <w:rFonts w:ascii="Arial" w:hAnsi="Arial"/>
                <w:b w:val="0"/>
                <w:color w:val="000000"/>
                <w:sz w:val="24"/>
              </w:rPr>
              <w:t xml:space="preserve">  </w:t>
            </w:r>
            <w:hyperlink w:anchor="slide_09">
              <w:r>
                <w:rPr>
                  <w:rFonts w:ascii="Arial" w:hAnsi="Arial"/>
                  <w:color w:val="000000"/>
                  <w:sz w:val="24"/>
                  <w:u w:val="single"/>
                </w:rPr>
                <w:t>09</w:t>
              </w:r>
            </w:hyperlink>
            <w:r>
              <w:rPr>
                <w:rFonts w:ascii="Arial" w:hAnsi="Arial"/>
                <w:b w:val="0"/>
                <w:color w:val="000000"/>
                <w:sz w:val="24"/>
              </w:rPr>
              <w:t xml:space="preserve">  </w:t>
            </w:r>
            <w:hyperlink w:anchor="slide_10">
              <w:r>
                <w:rPr>
                  <w:rFonts w:ascii="Arial" w:hAnsi="Arial"/>
                  <w:color w:val="000000"/>
                  <w:sz w:val="24"/>
                  <w:u w:val="single"/>
                </w:rPr>
                <w:t>10</w:t>
              </w:r>
            </w:hyperlink>
          </w:p>
        </w:tc>
        <w:tc>
          <w:tcPr>
            <w:tcW w:type="dxa" w:w="5272"/>
            <w:vAlign w:val="center"/>
            <w:tcMar>
              <w:top w:w="110" w:type="dxa"/>
              <w:left w:w="110" w:type="dxa"/>
              <w:bottom w:w="110" w:type="dxa"/>
              <w:right w:w="110" w:type="dxa"/>
            </w:tcMar>
            <w:shd w:fill="FFFFFF"/>
          </w:tcPr>
          <w:p>
            <w:pPr>
              <w:spacing w:before="0" w:after="0" w:line="259" w:lineRule="auto"/>
              <w:jc w:val="left"/>
            </w:pPr>
            <w:r>
              <w:rPr>
                <w:rFonts w:ascii="Arial" w:hAnsi="Arial"/>
                <w:b w:val="0"/>
                <w:color w:val="000000"/>
                <w:sz w:val="24"/>
              </w:rPr>
              <w:t>Huấn luyện và dự báo chi tiêu</w:t>
            </w:r>
          </w:p>
        </w:tc>
      </w:tr>
      <w:tr>
        <w:tc>
          <w:tcPr>
            <w:tcW w:type="dxa" w:w="2551"/>
            <w:vAlign w:val="center"/>
            <w:tcMar>
              <w:top w:w="110" w:type="dxa"/>
              <w:left w:w="110" w:type="dxa"/>
              <w:bottom w:w="110" w:type="dxa"/>
              <w:right w:w="110" w:type="dxa"/>
            </w:tcMar>
            <w:shd w:fill="F3F6F8"/>
          </w:tcPr>
          <w:p>
            <w:pPr>
              <w:spacing w:before="0" w:after="0" w:line="259" w:lineRule="auto"/>
              <w:jc w:val="left"/>
            </w:pPr>
            <w:r>
              <w:rPr>
                <w:rFonts w:ascii="Arial" w:hAnsi="Arial"/>
                <w:b w:val="0"/>
                <w:color w:val="000000"/>
                <w:sz w:val="24"/>
              </w:rPr>
              <w:t>Lý Tú Nguyên</w:t>
            </w:r>
          </w:p>
        </w:tc>
        <w:tc>
          <w:tcPr>
            <w:tcW w:type="dxa" w:w="1814"/>
            <w:vAlign w:val="center"/>
            <w:tcMar>
              <w:top w:w="110" w:type="dxa"/>
              <w:left w:w="110" w:type="dxa"/>
              <w:bottom w:w="110" w:type="dxa"/>
              <w:right w:w="110" w:type="dxa"/>
            </w:tcMar>
            <w:shd w:fill="F3F6F8"/>
          </w:tcPr>
          <w:p>
            <w:pPr>
              <w:spacing w:before="0" w:after="0" w:line="259" w:lineRule="auto"/>
              <w:jc w:val="center"/>
            </w:pPr>
            <w:hyperlink w:anchor="slide_11">
              <w:r>
                <w:rPr>
                  <w:rFonts w:ascii="Arial" w:hAnsi="Arial"/>
                  <w:color w:val="000000"/>
                  <w:sz w:val="24"/>
                  <w:u w:val="single"/>
                </w:rPr>
                <w:t>11</w:t>
              </w:r>
            </w:hyperlink>
            <w:r>
              <w:rPr>
                <w:rFonts w:ascii="Arial" w:hAnsi="Arial"/>
                <w:b w:val="0"/>
                <w:color w:val="000000"/>
                <w:sz w:val="24"/>
              </w:rPr>
              <w:t xml:space="preserve">  </w:t>
            </w:r>
            <w:hyperlink w:anchor="slide_12">
              <w:r>
                <w:rPr>
                  <w:rFonts w:ascii="Arial" w:hAnsi="Arial"/>
                  <w:color w:val="000000"/>
                  <w:sz w:val="24"/>
                  <w:u w:val="single"/>
                </w:rPr>
                <w:t>12</w:t>
              </w:r>
            </w:hyperlink>
            <w:r>
              <w:rPr>
                <w:rFonts w:ascii="Arial" w:hAnsi="Arial"/>
                <w:b w:val="0"/>
                <w:color w:val="000000"/>
                <w:sz w:val="24"/>
              </w:rPr>
              <w:t xml:space="preserve">  </w:t>
            </w:r>
            <w:hyperlink w:anchor="slide_13">
              <w:r>
                <w:rPr>
                  <w:rFonts w:ascii="Arial" w:hAnsi="Arial"/>
                  <w:color w:val="000000"/>
                  <w:sz w:val="24"/>
                  <w:u w:val="single"/>
                </w:rPr>
                <w:t>13</w:t>
              </w:r>
            </w:hyperlink>
          </w:p>
        </w:tc>
        <w:tc>
          <w:tcPr>
            <w:tcW w:type="dxa" w:w="5272"/>
            <w:vAlign w:val="center"/>
            <w:tcMar>
              <w:top w:w="110" w:type="dxa"/>
              <w:left w:w="110" w:type="dxa"/>
              <w:bottom w:w="110" w:type="dxa"/>
              <w:right w:w="110" w:type="dxa"/>
            </w:tcMar>
            <w:shd w:fill="F3F6F8"/>
          </w:tcPr>
          <w:p>
            <w:pPr>
              <w:spacing w:before="0" w:after="0" w:line="259" w:lineRule="auto"/>
              <w:jc w:val="left"/>
            </w:pPr>
            <w:r>
              <w:rPr>
                <w:rFonts w:ascii="Arial" w:hAnsi="Arial"/>
                <w:b w:val="0"/>
                <w:color w:val="000000"/>
                <w:sz w:val="24"/>
              </w:rPr>
              <w:t>Bất thường và gợi ý danh mục</w:t>
            </w:r>
          </w:p>
        </w:tc>
      </w:tr>
      <w:tr>
        <w:tc>
          <w:tcPr>
            <w:tcW w:type="dxa" w:w="2551"/>
            <w:vAlign w:val="center"/>
            <w:tcMar>
              <w:top w:w="110" w:type="dxa"/>
              <w:left w:w="110" w:type="dxa"/>
              <w:bottom w:w="110" w:type="dxa"/>
              <w:right w:w="110" w:type="dxa"/>
            </w:tcMar>
            <w:shd w:fill="FFFFFF"/>
          </w:tcPr>
          <w:p>
            <w:pPr>
              <w:spacing w:before="0" w:after="0" w:line="259" w:lineRule="auto"/>
              <w:jc w:val="left"/>
            </w:pPr>
            <w:r>
              <w:rPr>
                <w:rFonts w:ascii="Arial" w:hAnsi="Arial"/>
                <w:b w:val="0"/>
                <w:color w:val="000000"/>
                <w:sz w:val="24"/>
              </w:rPr>
              <w:t>Nguyễn Tùng Lâm</w:t>
            </w:r>
          </w:p>
        </w:tc>
        <w:tc>
          <w:tcPr>
            <w:tcW w:type="dxa" w:w="1814"/>
            <w:vAlign w:val="center"/>
            <w:tcMar>
              <w:top w:w="110" w:type="dxa"/>
              <w:left w:w="110" w:type="dxa"/>
              <w:bottom w:w="110" w:type="dxa"/>
              <w:right w:w="110" w:type="dxa"/>
            </w:tcMar>
            <w:shd w:fill="FFFFFF"/>
          </w:tcPr>
          <w:p>
            <w:pPr>
              <w:spacing w:before="0" w:after="0" w:line="259" w:lineRule="auto"/>
              <w:jc w:val="center"/>
            </w:pPr>
            <w:hyperlink w:anchor="slide_14">
              <w:r>
                <w:rPr>
                  <w:rFonts w:ascii="Arial" w:hAnsi="Arial"/>
                  <w:color w:val="000000"/>
                  <w:sz w:val="24"/>
                  <w:u w:val="single"/>
                </w:rPr>
                <w:t>14</w:t>
              </w:r>
            </w:hyperlink>
            <w:r>
              <w:rPr>
                <w:rFonts w:ascii="Arial" w:hAnsi="Arial"/>
                <w:b w:val="0"/>
                <w:color w:val="000000"/>
                <w:sz w:val="24"/>
              </w:rPr>
              <w:t xml:space="preserve">  </w:t>
            </w:r>
            <w:hyperlink w:anchor="slide_15">
              <w:r>
                <w:rPr>
                  <w:rFonts w:ascii="Arial" w:hAnsi="Arial"/>
                  <w:color w:val="000000"/>
                  <w:sz w:val="24"/>
                  <w:u w:val="single"/>
                </w:rPr>
                <w:t>15</w:t>
              </w:r>
            </w:hyperlink>
            <w:r>
              <w:rPr>
                <w:rFonts w:ascii="Arial" w:hAnsi="Arial"/>
                <w:b w:val="0"/>
                <w:color w:val="000000"/>
                <w:sz w:val="24"/>
              </w:rPr>
              <w:t xml:space="preserve">  </w:t>
            </w:r>
            <w:hyperlink w:anchor="slide_16">
              <w:r>
                <w:rPr>
                  <w:rFonts w:ascii="Arial" w:hAnsi="Arial"/>
                  <w:color w:val="000000"/>
                  <w:sz w:val="24"/>
                  <w:u w:val="single"/>
                </w:rPr>
                <w:t>16</w:t>
              </w:r>
            </w:hyperlink>
            <w:r>
              <w:rPr>
                <w:rFonts w:ascii="Arial" w:hAnsi="Arial"/>
                <w:b w:val="0"/>
                <w:color w:val="000000"/>
                <w:sz w:val="24"/>
              </w:rPr>
              <w:t xml:space="preserve">  </w:t>
            </w:r>
            <w:hyperlink w:anchor="slide_17">
              <w:r>
                <w:rPr>
                  <w:rFonts w:ascii="Arial" w:hAnsi="Arial"/>
                  <w:color w:val="000000"/>
                  <w:sz w:val="24"/>
                  <w:u w:val="single"/>
                </w:rPr>
                <w:t>17</w:t>
              </w:r>
            </w:hyperlink>
          </w:p>
        </w:tc>
        <w:tc>
          <w:tcPr>
            <w:tcW w:type="dxa" w:w="5272"/>
            <w:vAlign w:val="center"/>
            <w:tcMar>
              <w:top w:w="110" w:type="dxa"/>
              <w:left w:w="110" w:type="dxa"/>
              <w:bottom w:w="110" w:type="dxa"/>
              <w:right w:w="110" w:type="dxa"/>
            </w:tcMar>
            <w:shd w:fill="FFFFFF"/>
          </w:tcPr>
          <w:p>
            <w:pPr>
              <w:spacing w:before="0" w:after="0" w:line="259" w:lineRule="auto"/>
              <w:jc w:val="left"/>
            </w:pPr>
            <w:r>
              <w:rPr>
                <w:rFonts w:ascii="Arial" w:hAnsi="Arial"/>
                <w:b w:val="0"/>
                <w:color w:val="000000"/>
                <w:sz w:val="24"/>
              </w:rPr>
              <w:t>Chatbot và kết quả kiểm chứng</w:t>
            </w:r>
          </w:p>
        </w:tc>
      </w:tr>
    </w:tbl>
    <w:p>
      <w:pPr>
        <w:pStyle w:val="Caption"/>
        <w:spacing w:before="160" w:after="280"/>
      </w:pPr>
      <w:r>
        <w:t>Chạm vào số slide trong bảng để đến phần tương ứng. Slide 02 giới thiệu nhóm và slide 17 kết thúc bài trình bày.</w:t>
      </w:r>
    </w:p>
    <w:p>
      <w:pPr>
        <w:pStyle w:val="Heading3"/>
      </w:pPr>
      <w:r>
        <w:t>Mốc số liệu</w:t>
      </w:r>
    </w:p>
    <w:p>
      <w:pPr/>
      <w:r>
        <w:t>Nội dung tương ứng bộ 17 slide ngày 21 tháng 10 năm 2026. Kết quả huấn luyện và kiểm thử được ghi nhận ngày 14 tháng 10 năm 2026. Các ví dụ tài chính trên slide sử dụng tài khoản demo.</w:t>
      </w:r>
    </w:p>
    <w:p>
      <w:bookmarkStart w:id="1" w:name="slide_01"/>
      <w:pPr>
        <w:pStyle w:val="Heading1"/>
        <w:pageBreakBefore/>
      </w:pPr>
      <w:r>
        <w:t>Slide 01</w:t>
      </w:r>
      <w:bookmarkEnd w:id="1"/>
    </w:p>
    <w:p>
      <w:pPr>
        <w:pStyle w:val="Heading2"/>
      </w:pPr>
      <w:r>
        <w:t>FinSight AI Quản lý tài chính cá nhân với AI</w:t>
      </w:r>
    </w:p>
    <w:p>
      <w:pPr>
        <w:spacing w:after="200"/>
      </w:pPr>
      <w:r>
        <w:rPr>
          <w:i/>
          <w:sz w:val="22"/>
        </w:rPr>
        <w:t>Người trình bày  Lê Như Đỉnh</w:t>
      </w:r>
    </w:p>
    <w:p>
      <w:pPr>
        <w:pStyle w:val="Heading3"/>
      </w:pPr>
      <w:r>
        <w:t>Lời nói chính</w:t>
      </w:r>
    </w:p>
    <w:p>
      <w:pPr/>
      <w:r>
        <w:t>Kính chào thầy cô và các bạn. Nhóm em xin trình bày đề tài FinSight AI, hệ thống quản lý tài chính cá nhân tích hợp dự báo chi tiêu và phát hiện giao dịch bất thường, dưới sự hướng dẫn của ThS. Nguyễn Đỗ Công Pháp.</w:t>
      </w:r>
    </w:p>
    <w:p>
      <w:pPr/>
      <w:r>
        <w:t>Nhóm hướng đến những câu hỏi thường ngày: tiền đang được dùng vào việc gì, những ngày tới còn đủ tiền không và nên điều chỉnh khoản chi nào. Ứng dụng kết hợp quản lý thu chi, các mô hình học máy và chatbot tư vấn. Sau đây, nhóm sẽ giới thiệu bài toán, cách xây dựng và kết quả kiểm chứng.</w:t>
      </w:r>
    </w:p>
    <w:p>
      <w:pPr>
        <w:pStyle w:val="Heading3"/>
      </w:pPr>
      <w:r>
        <w:t>Nói thêm khi cần</w:t>
      </w:r>
    </w:p>
    <w:p>
      <w:pPr/>
      <w:r>
        <w:t>Điểm nhóm muốn nhấn mạnh là đưa kết quả phân tích thành thông tin dễ sử dụng. Từ con số dự báo, người dùng có thể đối chiếu lịch thanh toán và thử kế hoạch chi tiêu trước khi quyết định.</w:t>
      </w:r>
    </w:p>
    <w:p>
      <w:pPr>
        <w:pStyle w:val="Heading3"/>
      </w:pPr>
      <w:r>
        <w:t>Chuyển ý</w:t>
      </w:r>
    </w:p>
    <w:p>
      <w:pPr/>
      <w:r>
        <w:rPr>
          <w:i/>
        </w:rPr>
        <w:t>Trước khi đi vào nội dung chính, em xin giới thiệu các thành viên và phần trình bày của nhóm.</w:t>
      </w:r>
    </w:p>
    <w:p>
      <w:bookmarkStart w:id="2" w:name="slide_02"/>
      <w:pPr>
        <w:pStyle w:val="Heading1"/>
        <w:pageBreakBefore/>
      </w:pPr>
      <w:r>
        <w:t>Slide 02</w:t>
      </w:r>
      <w:bookmarkEnd w:id="2"/>
    </w:p>
    <w:p>
      <w:pPr>
        <w:pStyle w:val="Heading2"/>
      </w:pPr>
      <w:r>
        <w:t>Thành viên và phần trình bày</w:t>
      </w:r>
    </w:p>
    <w:p>
      <w:pPr>
        <w:spacing w:after="200"/>
      </w:pPr>
      <w:r>
        <w:rPr>
          <w:i/>
          <w:sz w:val="22"/>
        </w:rPr>
        <w:t>Người trình bày  Lê Như Đỉnh</w:t>
      </w:r>
    </w:p>
    <w:p>
      <w:pPr>
        <w:pStyle w:val="Heading3"/>
      </w:pPr>
      <w:r>
        <w:t>Lời nói chính</w:t>
      </w:r>
    </w:p>
    <w:p>
      <w:pPr/>
      <w:r>
        <w:t>Nhóm gồm năm thành viên lớp 24GITE. Em là Lê Như Đỉnh, phụ trách giới thiệu bài toán và trải nghiệm sử dụng. Bạn Nguyễn Đức Trí trình bày kiến trúc hệ thống và cách quản lý dữ liệu. Bạn Trần Minh Nhật giới thiệu quá trình huấn luyện, dự báo chi tiêu và lập kế hoạch dòng tiền.</w:t>
      </w:r>
    </w:p>
    <w:p>
      <w:pPr/>
      <w:r>
        <w:t>Tiếp theo, bạn Lý Tú Nguyên giải thích chức năng phát hiện giao dịch bất thường và gợi ý danh mục. Bạn Nguyễn Tùng Lâm trình bày chatbot, kết quả kiểm chứng và hướng hoàn thiện. Nội dung được nối theo hành trình từ nhu cầu người dùng, dữ liệu, mô hình đến cách sử dụng kết quả trong ứng dụng.</w:t>
      </w:r>
    </w:p>
    <w:p>
      <w:pPr>
        <w:pStyle w:val="Heading3"/>
      </w:pPr>
      <w:r>
        <w:t>Nói thêm khi cần</w:t>
      </w:r>
    </w:p>
    <w:p>
      <w:pPr/>
      <w:r>
        <w:t>Các phần có liên hệ với nhau: dữ liệu giao dịch là đầu vào cho mô hình, còn kết quả phân tích được đưa trở lại giao diện để người dùng kiểm tra. Vì vậy, cả nghiệp vụ, thuật toán và trải nghiệm sử dụng đều cần hoạt động thống nhất.</w:t>
      </w:r>
    </w:p>
    <w:p>
      <w:pPr>
        <w:pStyle w:val="Heading3"/>
      </w:pPr>
      <w:r>
        <w:t>Chuyển ý</w:t>
      </w:r>
    </w:p>
    <w:p>
      <w:pPr/>
      <w:r>
        <w:rPr>
          <w:i/>
        </w:rPr>
        <w:t>Sau đây, em bắt đầu từ nhu cầu thực tế mà FinSight hướng đến giải quyết.</w:t>
      </w:r>
    </w:p>
    <w:p>
      <w:bookmarkStart w:id="3" w:name="slide_03"/>
      <w:pPr>
        <w:pStyle w:val="Heading1"/>
        <w:pageBreakBefore/>
      </w:pPr>
      <w:r>
        <w:t>Slide 03</w:t>
      </w:r>
      <w:bookmarkEnd w:id="3"/>
    </w:p>
    <w:p>
      <w:pPr>
        <w:pStyle w:val="Heading2"/>
      </w:pPr>
      <w:r>
        <w:t>Nhu cầu quản lý tài chính hằng ngày</w:t>
      </w:r>
    </w:p>
    <w:p>
      <w:pPr>
        <w:spacing w:after="200"/>
      </w:pPr>
      <w:r>
        <w:rPr>
          <w:i/>
          <w:sz w:val="22"/>
        </w:rPr>
        <w:t>Người trình bày  Lê Như Đỉnh</w:t>
      </w:r>
    </w:p>
    <w:p>
      <w:pPr>
        <w:pStyle w:val="Heading3"/>
      </w:pPr>
      <w:r>
        <w:t>Lời nói chính</w:t>
      </w:r>
    </w:p>
    <w:p>
      <w:pPr/>
      <w:r>
        <w:t>Khi quản lý tài chính cá nhân, nhiều người biết tổng chi của tháng trước nhưng vẫn khó quyết định hôm nay có nên mua thêm một món đồ hay không. Lý do là họ còn phải tính đến hóa đơn sắp đến hạn, ngân sách còn lại và khoản tiền muốn tiết kiệm.</w:t>
      </w:r>
    </w:p>
    <w:p>
      <w:pPr/>
      <w:r>
        <w:t>FinSight tập hợp những thông tin đó trong cùng một ứng dụng. Dashboard giúp xem nhanh ví, thu chi và danh mục giao dịch. Ngân sách cùng lịch thanh toán hỗ trợ chuẩn bị cho các khoản sắp đến. Phần dự phóng số dư giúp cân nhắc trước khi chi. Người dùng vẫn kiểm tra thông tin và đưa ra quyết định cuối cùng.</w:t>
      </w:r>
    </w:p>
    <w:p>
      <w:pPr>
        <w:pStyle w:val="Heading3"/>
      </w:pPr>
      <w:r>
        <w:t>Nói thêm khi cần</w:t>
      </w:r>
    </w:p>
    <w:p>
      <w:pPr/>
      <w:r>
        <w:t>Có thể lấy ví dụ một người còn tiền trong ví nhưng tuần sau phải trả tiền thuê nhà. Nếu chỉ nhìn số dư hiện tại, họ dễ đánh giá quá cao khả năng chi tiêu. Việc xem thêm lịch thanh toán giúp quyết định sát hoàn cảnh hơn.</w:t>
      </w:r>
    </w:p>
    <w:p>
      <w:pPr>
        <w:pStyle w:val="Heading3"/>
      </w:pPr>
      <w:r>
        <w:t>Chuyển ý</w:t>
      </w:r>
    </w:p>
    <w:p>
      <w:pPr/>
      <w:r>
        <w:rPr>
          <w:i/>
        </w:rPr>
        <w:t>Từ nhu cầu đó, slide tiếp theo minh họa quy trình sử dụng ứng dụng để lập kế hoạch.</w:t>
      </w:r>
    </w:p>
    <w:p>
      <w:bookmarkStart w:id="4" w:name="slide_04"/>
      <w:pPr>
        <w:pStyle w:val="Heading1"/>
        <w:pageBreakBefore/>
      </w:pPr>
      <w:r>
        <w:t>Slide 04</w:t>
      </w:r>
      <w:bookmarkEnd w:id="4"/>
    </w:p>
    <w:p>
      <w:pPr>
        <w:pStyle w:val="Heading2"/>
      </w:pPr>
      <w:r>
        <w:t>Quy trình sử dụng và lập kế hoạch</w:t>
      </w:r>
    </w:p>
    <w:p>
      <w:pPr>
        <w:spacing w:after="200"/>
      </w:pPr>
      <w:r>
        <w:rPr>
          <w:i/>
          <w:sz w:val="22"/>
        </w:rPr>
        <w:t>Người trình bày  Lê Như Đỉnh</w:t>
      </w:r>
    </w:p>
    <w:p>
      <w:pPr>
        <w:pStyle w:val="Heading3"/>
      </w:pPr>
      <w:r>
        <w:t>Lời nói chính</w:t>
      </w:r>
    </w:p>
    <w:p>
      <w:pPr/>
      <w:r>
        <w:t>Quy trình gồm ba bước. Đầu tiên, người dùng tạo ví, ghi nhận thu chi và khai báo lịch thanh toán, chẳng hạn ngày nhận lương hoặc tiền thuê nhà. Tiếp theo, tại Trợ lý tài chính, họ chọn khoảng bảy, mười bốn hoặc ba mươi ngày để xem số dư dự kiến.</w:t>
      </w:r>
    </w:p>
    <w:p>
      <w:pPr/>
      <w:r>
        <w:t>Cuối cùng, người dùng thử một phương án như giảm chi linh hoạt, thêm thu nhập giả định hoặc mua một món đồ lớn. Hệ thống tính lại để họ so sánh. Những thao tác này không sửa giao dịch đã lưu. Khi lịch sử chưa đủ cho mô hình dự báo, giao diện thông báo cách ước tính thay thế để người dùng hiểu kết quả.</w:t>
      </w:r>
    </w:p>
    <w:p>
      <w:pPr>
        <w:pStyle w:val="Heading3"/>
      </w:pPr>
      <w:r>
        <w:t>Nói thêm khi cần</w:t>
      </w:r>
    </w:p>
    <w:p>
      <w:pPr/>
      <w:r>
        <w:t>Mô phỏng giống như một bản nháp kế hoạch. Người dùng có thể thử nhiều phương án rồi mới chọn cách phù hợp. Số dư thật vẫn được tính từ giao dịch đã ghi nhận, nên việc thử kế hoạch không làm thay đổi dữ liệu tài chính đang quản lý.</w:t>
      </w:r>
    </w:p>
    <w:p>
      <w:pPr>
        <w:pStyle w:val="Heading3"/>
      </w:pPr>
      <w:r>
        <w:t>Chuyển ý</w:t>
      </w:r>
    </w:p>
    <w:p>
      <w:pPr/>
      <w:r>
        <w:rPr>
          <w:i/>
        </w:rPr>
        <w:t>Em xin kết thúc phần giới thiệu và mời bạn Trí trình bày kiến trúc cùng cách quản lý dữ liệu.</w:t>
      </w:r>
    </w:p>
    <w:p>
      <w:bookmarkStart w:id="5" w:name="slide_05"/>
      <w:pPr>
        <w:pStyle w:val="Heading1"/>
        <w:pageBreakBefore/>
      </w:pPr>
      <w:r>
        <w:t>Slide 05</w:t>
      </w:r>
      <w:bookmarkEnd w:id="5"/>
    </w:p>
    <w:p>
      <w:pPr>
        <w:pStyle w:val="Heading2"/>
      </w:pPr>
      <w:r>
        <w:t>Kiến trúc hệ thống</w:t>
      </w:r>
    </w:p>
    <w:p>
      <w:pPr>
        <w:spacing w:after="200"/>
      </w:pPr>
      <w:r>
        <w:rPr>
          <w:i/>
          <w:sz w:val="22"/>
        </w:rPr>
        <w:t>Người trình bày  Nguyễn Đức Trí</w:t>
      </w:r>
    </w:p>
    <w:p>
      <w:pPr>
        <w:pStyle w:val="Heading3"/>
      </w:pPr>
      <w:r>
        <w:t>Lời nói chính</w:t>
      </w:r>
    </w:p>
    <w:p>
      <w:pPr/>
      <w:r>
        <w:t>Em xin trình bày kiến trúc của FinSight. React là phần giao diện mà người dùng trực tiếp thao tác. Spring Boot là phần xử lý phía máy chủ, tiếp nhận yêu cầu, kiểm tra đăng nhập và thực hiện nghiệp vụ như thêm giao dịch hoặc chuyển tiền giữa các ví.</w:t>
      </w:r>
    </w:p>
    <w:p>
      <w:pPr/>
      <w:r>
        <w:t>MariaDB, chạy qua XAMPP, lưu dữ liệu tài khoản, ví và giao dịch. FastAPI phụ trách các chức năng AI, gồm mô hình tài chính và kết nối engine Qwen3 cục bộ. Khi người dùng yêu cầu phân tích, Spring Boot xác định đúng dữ liệu của tài khoản trước khi chuyển sang AI. Cách chia này giúp nhóm kiểm tra và xử lý lỗi từng thành phần rõ ràng hơn.</w:t>
      </w:r>
    </w:p>
    <w:p>
      <w:pPr>
        <w:pStyle w:val="Heading3"/>
      </w:pPr>
      <w:r>
        <w:t>Nói thêm khi cần</w:t>
      </w:r>
    </w:p>
    <w:p>
      <w:pPr/>
      <w:r>
        <w:t>API có thể hiểu là cách các thành phần trao đổi yêu cầu và kết quả. Ví dụ, giao diện gửi yêu cầu xem thu chi; máy chủ kiểm tra quyền, lấy dữ liệu rồi trả về. Giao diện không trực tiếp truy cập database để tự lấy thông tin tài khoản.</w:t>
      </w:r>
    </w:p>
    <w:p>
      <w:pPr>
        <w:pStyle w:val="Heading3"/>
      </w:pPr>
      <w:r>
        <w:t>Chuyển ý</w:t>
      </w:r>
    </w:p>
    <w:p>
      <w:pPr/>
      <w:r>
        <w:rPr>
          <w:i/>
        </w:rPr>
        <w:t>Sau khi giới thiệu các thành phần, em sẽ giải thích cách tổ chức dữ liệu và tính số tiền.</w:t>
      </w:r>
    </w:p>
    <w:p>
      <w:bookmarkStart w:id="6" w:name="slide_06"/>
      <w:pPr>
        <w:pStyle w:val="Heading1"/>
        <w:pageBreakBefore/>
      </w:pPr>
      <w:r>
        <w:t>Slide 06</w:t>
      </w:r>
      <w:bookmarkEnd w:id="6"/>
    </w:p>
    <w:p>
      <w:pPr>
        <w:pStyle w:val="Heading2"/>
      </w:pPr>
      <w:r>
        <w:t>Schema và cách quản lý số tiền</w:t>
      </w:r>
    </w:p>
    <w:p>
      <w:pPr>
        <w:spacing w:after="200"/>
      </w:pPr>
      <w:r>
        <w:rPr>
          <w:i/>
          <w:sz w:val="22"/>
        </w:rPr>
        <w:t>Người trình bày  Nguyễn Đức Trí</w:t>
      </w:r>
    </w:p>
    <w:p>
      <w:pPr>
        <w:pStyle w:val="Heading3"/>
      </w:pPr>
      <w:r>
        <w:t>Lời nói chính</w:t>
      </w:r>
    </w:p>
    <w:p>
      <w:pPr/>
      <w:r>
        <w:t>Schema có thể hiểu là bản thiết kế của cơ sở dữ liệu. Nó cho biết hệ thống có những bảng nào, lưu thông tin gì và các bảng liên kết ra sao. Ví dụ, một giao dịch thuộc một ví, còn ví đó thuộc một tài khoản người dùng.</w:t>
      </w:r>
    </w:p>
    <w:p>
      <w:pPr/>
      <w:r>
        <w:t>Với số tiền, hệ thống dùng DECIMAL trong database và BigDecimal trong Java để hạn chế sai số thập phân khi cộng trừ. Đồng thời, máy chủ xác định chủ sở hữu từ phiên đăng nhập trước khi đọc hoặc cập nhật dữ liệu. Hai yêu cầu quan trọng ở đây là tính đúng số tiền và thao tác đúng dữ liệu của người đang sử dụng ứng dụng.</w:t>
      </w:r>
    </w:p>
    <w:p>
      <w:pPr>
        <w:pStyle w:val="Heading3"/>
      </w:pPr>
      <w:r>
        <w:t>Nói thêm khi cần</w:t>
      </w:r>
    </w:p>
    <w:p>
      <w:pPr/>
      <w:r>
        <w:t>Không nên chỉ dựa vào mã ví do giao diện gửi lên. Máy chủ cần kiểm tra ví có thuộc tài khoản đang đăng nhập hay không. Cách kiểm tra này được áp dụng cả khi xem dữ liệu lẫn khi thêm, sửa hoặc xóa giao dịch.</w:t>
      </w:r>
    </w:p>
    <w:p>
      <w:pPr>
        <w:pStyle w:val="Heading3"/>
      </w:pPr>
      <w:r>
        <w:t>Chuyển ý</w:t>
      </w:r>
    </w:p>
    <w:p>
      <w:pPr/>
      <w:r>
        <w:rPr>
          <w:i/>
        </w:rPr>
        <w:t>Tiếp theo là cách hệ thống giữ số dư nhất quán khi một thao tác gồm nhiều bước cập nhật.</w:t>
      </w:r>
    </w:p>
    <w:p>
      <w:bookmarkStart w:id="7" w:name="slide_07"/>
      <w:pPr>
        <w:pStyle w:val="Heading1"/>
        <w:pageBreakBefore/>
      </w:pPr>
      <w:r>
        <w:t>Slide 07</w:t>
      </w:r>
      <w:bookmarkEnd w:id="7"/>
    </w:p>
    <w:p>
      <w:pPr>
        <w:pStyle w:val="Heading2"/>
      </w:pPr>
      <w:r>
        <w:t>Transaction giữ dữ liệu nhất quán</w:t>
      </w:r>
    </w:p>
    <w:p>
      <w:pPr>
        <w:spacing w:after="200"/>
      </w:pPr>
      <w:r>
        <w:rPr>
          <w:i/>
          <w:sz w:val="22"/>
        </w:rPr>
        <w:t>Người trình bày  Nguyễn Đức Trí</w:t>
      </w:r>
    </w:p>
    <w:p>
      <w:pPr>
        <w:pStyle w:val="Heading3"/>
      </w:pPr>
      <w:r>
        <w:t>Lời nói chính</w:t>
      </w:r>
    </w:p>
    <w:p>
      <w:pPr/>
      <w:r>
        <w:t>Ví dụ chuyển một trăm nghìn đồng từ ví A sang ví B, hệ thống phải trừ ở A và cộng ở B. Hai bước được đặt trong cùng một transaction, nghĩa là cùng thành công hoặc cùng được hoàn tác. Như vậy sẽ tránh trường hợp tiền đã bị trừ nhưng chưa được cộng sang ví nhận.</w:t>
      </w:r>
    </w:p>
    <w:p>
      <w:pPr/>
      <w:r>
        <w:t>Khi nhập file CSV gặp lỗi, hệ thống cũng tránh lưu dở một phần. Với các yêu cầu đồng thời, khóa bản ghi giúp hạn chế cập nhật đè lên nhau. Ca kiểm thử tổng hợp nhập đồng thời hai file, mỗi file hai trăm dòng, đã ghi nhận đủ bốn trăm giao dịch như mong đợi. Đây là một tình huống kiểm chứng tính nhất quán.</w:t>
      </w:r>
    </w:p>
    <w:p>
      <w:pPr>
        <w:pStyle w:val="Heading3"/>
      </w:pPr>
      <w:r>
        <w:t>Nói thêm khi cần</w:t>
      </w:r>
    </w:p>
    <w:p>
      <w:pPr/>
      <w:r>
        <w:t>Transaction ở đây là một nhóm thao tác xử lý trong database, khác với một khoản thu hoặc chi mà người dùng nhập. CSRF bổ sung kiểm tra cho yêu cầu thay đổi dữ liệu, giúp hạn chế thao tác giả mạo lợi dụng phiên đăng nhập của người dùng.</w:t>
      </w:r>
    </w:p>
    <w:p>
      <w:pPr>
        <w:pStyle w:val="Heading3"/>
      </w:pPr>
      <w:r>
        <w:t>Chuyển ý</w:t>
      </w:r>
    </w:p>
    <w:p>
      <w:pPr/>
      <w:r>
        <w:rPr>
          <w:i/>
        </w:rPr>
        <w:t>Em xin chuyển sang bạn Nhật để trình bày dữ liệu huấn luyện và mô hình dự báo chi tiêu.</w:t>
      </w:r>
    </w:p>
    <w:p>
      <w:bookmarkStart w:id="8" w:name="slide_08"/>
      <w:pPr>
        <w:pStyle w:val="Heading1"/>
        <w:pageBreakBefore/>
      </w:pPr>
      <w:r>
        <w:t>Slide 08</w:t>
      </w:r>
      <w:bookmarkEnd w:id="8"/>
    </w:p>
    <w:p>
      <w:pPr>
        <w:pStyle w:val="Heading2"/>
      </w:pPr>
      <w:r>
        <w:t>Dữ liệu và cách kiểm chứng mô hình</w:t>
      </w:r>
    </w:p>
    <w:p>
      <w:pPr>
        <w:spacing w:after="200"/>
      </w:pPr>
      <w:r>
        <w:rPr>
          <w:i/>
          <w:sz w:val="22"/>
        </w:rPr>
        <w:t>Người trình bày  Trần Minh Nhật</w:t>
      </w:r>
    </w:p>
    <w:p>
      <w:pPr>
        <w:pStyle w:val="Heading3"/>
      </w:pPr>
      <w:r>
        <w:t>Lời nói chính</w:t>
      </w:r>
    </w:p>
    <w:p>
      <w:pPr/>
      <w:r>
        <w:t>Em xin giới thiệu dữ liệu và cách kiểm chứng mô hình. Phần tài chính sử dụng dữ liệu tổng hợp của hai mươi tài khoản, mỗi tài khoản có ba trăm sáu mươi lăm ngày. Nhóm chia mười hai tài khoản để huấn luyện, bốn tài khoản để chọn mô hình và bốn tài khoản để kiểm tra riêng.</w:t>
      </w:r>
    </w:p>
    <w:p>
      <w:pPr/>
      <w:r>
        <w:t>Với bài toán dự báo, dữ liệu còn được tách theo thời gian để hạn chế việc mô hình học được thông tin của tương lai. Phần phân loại có ba trăm hai mươi mô tả tiếng Việt, chia thành một trăm chín mươi hai, sáu mươi bốn và sáu mươi bốn câu. Kết quả hiện tại phản ánh phạm vi dữ liệu tổng hợp, cần đánh giá thêm bằng dữ liệu thực.</w:t>
      </w:r>
    </w:p>
    <w:p>
      <w:pPr>
        <w:pStyle w:val="Heading3"/>
      </w:pPr>
      <w:r>
        <w:t>Nói thêm khi cần</w:t>
      </w:r>
    </w:p>
    <w:p>
      <w:pPr/>
      <w:r>
        <w:t>Ba nhóm dữ liệu có vai trò khác nhau: huấn luyện để mô hình học, chọn mô hình để so sánh cấu hình và kiểm tra riêng để đánh giá sau cùng. Nếu liên tục điều chỉnh theo tập kiểm tra, kết quả có thể đẹp hơn khả năng hoạt động thực tế.</w:t>
      </w:r>
    </w:p>
    <w:p>
      <w:pPr>
        <w:pStyle w:val="Heading3"/>
      </w:pPr>
      <w:r>
        <w:t>Chuyển ý</w:t>
      </w:r>
    </w:p>
    <w:p>
      <w:pPr/>
      <w:r>
        <w:rPr>
          <w:i/>
        </w:rPr>
        <w:t>Trên cách chia dữ liệu đó, nhóm so sánh các phương án và chọn mô hình dự báo phù hợp.</w:t>
      </w:r>
    </w:p>
    <w:p>
      <w:bookmarkStart w:id="9" w:name="slide_09"/>
      <w:pPr>
        <w:pStyle w:val="Heading1"/>
        <w:pageBreakBefore/>
      </w:pPr>
      <w:r>
        <w:t>Slide 09</w:t>
      </w:r>
      <w:bookmarkEnd w:id="9"/>
    </w:p>
    <w:p>
      <w:pPr>
        <w:pStyle w:val="Heading2"/>
      </w:pPr>
      <w:r>
        <w:t>Random Forest dự báo chi tiêu</w:t>
      </w:r>
    </w:p>
    <w:p>
      <w:pPr>
        <w:spacing w:after="200"/>
      </w:pPr>
      <w:r>
        <w:rPr>
          <w:i/>
          <w:sz w:val="22"/>
        </w:rPr>
        <w:t>Người trình bày  Trần Minh Nhật</w:t>
      </w:r>
    </w:p>
    <w:p>
      <w:pPr>
        <w:pStyle w:val="Heading3"/>
      </w:pPr>
      <w:r>
        <w:t>Lời nói chính</w:t>
      </w:r>
    </w:p>
    <w:p>
      <w:pPr/>
      <w:r>
        <w:t>Random Forest có thể hình dung là nhiều cây cùng dự đoán rồi kết hợp kết quả. Mô hình của dự án dùng một trăm cây, độ sâu năm, học từ lịch sử chi tiêu, nhịp chi gần đây và thông tin thời gian để dự báo khoản chi của những ngày tiếp theo.</w:t>
      </w:r>
    </w:p>
    <w:p>
      <w:pPr/>
      <w:r>
        <w:t>Trong bài đánh giá ba mươi ngày trên dữ liệu tổng hợp, sai số MAE của Random Forest là 146,24 nghìn đồng mỗi ngày. XGBoost là 159,91 và trung bình trượt là 275,04 nghìn đồng mỗi ngày. Chỉ số này càng thấp càng tốt. Đây là độ lệch tuyệt đối trung bình theo ngày, không phải tỷ lệ chính xác hay sai số tổng chi của cả tháng.</w:t>
      </w:r>
    </w:p>
    <w:p>
      <w:pPr>
        <w:pStyle w:val="Heading3"/>
      </w:pPr>
      <w:r>
        <w:t>Nói thêm khi cần</w:t>
      </w:r>
    </w:p>
    <w:p>
      <w:pPr/>
      <w:r>
        <w:t>MAE lấy độ chênh giữa dự báo và thực tế ở từng ngày, bỏ dấu âm rồi tính trung bình. Chẳng hạn, lệch một trăm nghìn đồng ở một ngày được tính như nhau dù dự báo cao hơn hay thấp hơn. Chỉ số giúp so sánh các phương án trên cùng bài đánh giá.</w:t>
      </w:r>
    </w:p>
    <w:p>
      <w:pPr>
        <w:pStyle w:val="Heading3"/>
      </w:pPr>
      <w:r>
        <w:t>Chuyển ý</w:t>
      </w:r>
    </w:p>
    <w:p>
      <w:pPr/>
      <w:r>
        <w:rPr>
          <w:i/>
        </w:rPr>
        <w:t>Kết quả dự báo sẽ được kết hợp với thông tin tài khoản để hỗ trợ lập kế hoạch dòng tiền.</w:t>
      </w:r>
    </w:p>
    <w:p>
      <w:bookmarkStart w:id="10" w:name="slide_10"/>
      <w:pPr>
        <w:pStyle w:val="Heading1"/>
        <w:pageBreakBefore/>
      </w:pPr>
      <w:r>
        <w:t>Slide 10</w:t>
      </w:r>
      <w:bookmarkEnd w:id="10"/>
    </w:p>
    <w:p>
      <w:pPr>
        <w:pStyle w:val="Heading2"/>
      </w:pPr>
      <w:r>
        <w:t>Dự báo hỗ trợ lập kế hoạch dòng tiền</w:t>
      </w:r>
    </w:p>
    <w:p>
      <w:pPr>
        <w:spacing w:after="200"/>
      </w:pPr>
      <w:r>
        <w:rPr>
          <w:i/>
          <w:sz w:val="22"/>
        </w:rPr>
        <w:t>Người trình bày  Trần Minh Nhật</w:t>
      </w:r>
    </w:p>
    <w:p>
      <w:pPr>
        <w:pStyle w:val="Heading3"/>
      </w:pPr>
      <w:r>
        <w:t>Lời nói chính</w:t>
      </w:r>
    </w:p>
    <w:p>
      <w:pPr/>
      <w:r>
        <w:t>Trợ lý tài chính đưa dự báo về một câu hỏi gần gũi hơn: những ngày tới còn đủ tiền không? Hệ thống bắt đầu từ số dư hiện tại, cộng khoản thu đã khai báo và trừ chi dự phóng. Lịch thanh toán được xử lý để tránh tính cùng một khoản chi hai lần.</w:t>
      </w:r>
    </w:p>
    <w:p>
      <w:pPr/>
      <w:r>
        <w:t>Người dùng có thể thử giảm chi linh hoạt, thêm một khoản thu, thêm món đồ muốn mua hoặc đặt mức tiền cần giữ lại. Khi giảm chi, các nghĩa vụ đã khai báo được giữ nguyên. Cần phân biệt rằng mô hình học máy dự báo chi tiêu, còn mô phỏng, ngân sách và kế hoạch tiết kiệm sử dụng các phép tính theo quy tắc và dữ liệu đầu vào.</w:t>
      </w:r>
    </w:p>
    <w:p>
      <w:pPr>
        <w:pStyle w:val="Heading3"/>
      </w:pPr>
      <w:r>
        <w:t>Nói thêm khi cần</w:t>
      </w:r>
    </w:p>
    <w:p>
      <w:pPr/>
      <w:r>
        <w:t>Ví dụ, tiền thuê nhà là nghĩa vụ đã khai báo nên không tự giảm theo tỷ lệ tiết kiệm. Phần có thể điều chỉnh là chi linh hoạt. Cách tách này giúp phương án mô phỏng sát với những khoản người dùng thực sự có thể thay đổi.</w:t>
      </w:r>
    </w:p>
    <w:p>
      <w:pPr>
        <w:pStyle w:val="Heading3"/>
      </w:pPr>
      <w:r>
        <w:t>Chuyển ý</w:t>
      </w:r>
    </w:p>
    <w:p>
      <w:pPr/>
      <w:r>
        <w:rPr>
          <w:i/>
        </w:rPr>
        <w:t>Em xin chuyển sang bạn Nguyên để giới thiệu cách phát hiện bất thường và gợi ý danh mục giao dịch.</w:t>
      </w:r>
    </w:p>
    <w:p>
      <w:bookmarkStart w:id="11" w:name="slide_11"/>
      <w:pPr>
        <w:pStyle w:val="Heading1"/>
        <w:pageBreakBefore/>
      </w:pPr>
      <w:r>
        <w:t>Slide 11</w:t>
      </w:r>
      <w:bookmarkEnd w:id="11"/>
    </w:p>
    <w:p>
      <w:pPr>
        <w:pStyle w:val="Heading2"/>
      </w:pPr>
      <w:r>
        <w:t>Isolation Forest phát hiện bất thường</w:t>
      </w:r>
    </w:p>
    <w:p>
      <w:pPr>
        <w:spacing w:after="200"/>
      </w:pPr>
      <w:r>
        <w:rPr>
          <w:i/>
          <w:sz w:val="22"/>
        </w:rPr>
        <w:t>Người trình bày  Lý Tú Nguyên</w:t>
      </w:r>
    </w:p>
    <w:p>
      <w:pPr>
        <w:pStyle w:val="Heading3"/>
      </w:pPr>
      <w:r>
        <w:t>Lời nói chính</w:t>
      </w:r>
    </w:p>
    <w:p>
      <w:pPr/>
      <w:r>
        <w:t>Isolation Forest hỗ trợ tìm những giao dịch khác với thói quen. Ý tưởng là điểm dữ liệu khác biệt thường được tách riêng bằng ít phép chia hơn. Mô hình dùng hai trăm cây, phân tích số tiền, thời gian, danh mục và lịch sử trước giao dịch để ưu tiên khoản cần xem lại.</w:t>
      </w:r>
    </w:p>
    <w:p>
      <w:pPr/>
      <w:r>
        <w:t>Trên tập kiểm tra tổng hợp, precision đạt 50% và recall đạt 60,42%. Có thể hiểu khoảng một nửa cảnh báo là đúng theo nhãn kiểm tra, đồng thời mô hình tìm được khoảng sáu mươi phần trăm số bất thường đã gán nhãn. Vì vẫn có báo nhầm và bỏ sót, người dùng cần xác nhận. Khoản chi khác thường có thể hoàn toàn hợp lệ, không đồng nghĩa gian lận.</w:t>
      </w:r>
    </w:p>
    <w:p>
      <w:pPr>
        <w:pStyle w:val="Heading3"/>
      </w:pPr>
      <w:r>
        <w:t>Nói thêm khi cần</w:t>
      </w:r>
    </w:p>
    <w:p>
      <w:pPr/>
      <w:r>
        <w:t>Một khoản mua máy tính có thể cao hơn nhiều mức chi hằng ngày nhưng vẫn đúng nhu cầu. Ngược lại, giao dịch nhập thừa một chữ số cũng có thể bị đánh dấu. Cảnh báo giúp thu hẹp danh sách cần kiểm tra, còn nguyên nhân phải được người dùng đối chiếu.</w:t>
      </w:r>
    </w:p>
    <w:p>
      <w:pPr>
        <w:pStyle w:val="Heading3"/>
      </w:pPr>
      <w:r>
        <w:t>Chuyển ý</w:t>
      </w:r>
    </w:p>
    <w:p>
      <w:pPr/>
      <w:r>
        <w:rPr>
          <w:i/>
        </w:rPr>
        <w:t>Ngoài việc tìm khoản cần xem lại, hệ thống còn hỗ trợ người dùng nhập danh mục nhanh hơn.</w:t>
      </w:r>
    </w:p>
    <w:p>
      <w:bookmarkStart w:id="12" w:name="slide_12"/>
      <w:pPr>
        <w:pStyle w:val="Heading1"/>
        <w:pageBreakBefore/>
      </w:pPr>
      <w:r>
        <w:t>Slide 12</w:t>
      </w:r>
      <w:bookmarkEnd w:id="12"/>
    </w:p>
    <w:p>
      <w:pPr>
        <w:pStyle w:val="Heading2"/>
      </w:pPr>
      <w:r>
        <w:t>Gợi ý danh mục từ mô tả giao dịch</w:t>
      </w:r>
    </w:p>
    <w:p>
      <w:pPr>
        <w:spacing w:after="200"/>
      </w:pPr>
      <w:r>
        <w:rPr>
          <w:i/>
          <w:sz w:val="22"/>
        </w:rPr>
        <w:t>Người trình bày  Lý Tú Nguyên</w:t>
      </w:r>
    </w:p>
    <w:p>
      <w:pPr>
        <w:pStyle w:val="Heading3"/>
      </w:pPr>
      <w:r>
        <w:t>Lời nói chính</w:t>
      </w:r>
    </w:p>
    <w:p>
      <w:pPr/>
      <w:r>
        <w:t>Khi nhập giao dịch, người dùng thường phải chọn danh mục. Chức năng này gợi ý dựa trên nội dung mô tả, chẳng hạn câu mua cơm trưa có thể được xếp vào ăn uống. Người dùng kiểm tra và có thể sửa gợi ý trước khi lưu.</w:t>
      </w:r>
    </w:p>
    <w:p>
      <w:pPr/>
      <w:r>
        <w:t>Quá trình gồm hai bước. TF-IDF chuyển các từ và cặp từ trong câu thành những giá trị số, giúp thể hiện từ nào nổi bật. Sau đó, Logistic Regression học mối liên hệ giữa những đặc trưng đó với tám nhóm chi tiêu. Mô hình được huấn luyện và kiểm tra trên các câu riêng. Với mô tả ngắn hoặc mơ hồ, gợi ý vẫn có thể nhầm nên bước xác nhận rất cần thiết.</w:t>
      </w:r>
    </w:p>
    <w:p>
      <w:pPr>
        <w:pStyle w:val="Heading3"/>
      </w:pPr>
      <w:r>
        <w:t>Nói thêm khi cần</w:t>
      </w:r>
    </w:p>
    <w:p>
      <w:pPr/>
      <w:r>
        <w:t>Mô hình phân loại này dự đoán một danh mục từ câu nhập vào, không phải chatbot tự viết câu trả lời. Ví dụ, câu chỉ ghi mua đồ thiếu ngữ cảnh hơn mua cơm trưa. Người dùng bổ sung mô tả rõ sẽ giúp việc gợi ý có cơ sở hơn.</w:t>
      </w:r>
    </w:p>
    <w:p>
      <w:pPr>
        <w:pStyle w:val="Heading3"/>
      </w:pPr>
      <w:r>
        <w:t>Chuyển ý</w:t>
      </w:r>
    </w:p>
    <w:p>
      <w:pPr/>
      <w:r>
        <w:rPr>
          <w:i/>
        </w:rPr>
        <w:t>Sau đây là kết quả kiểm tra và những điểm nhóm cần cải thiện ở chức năng phân loại.</w:t>
      </w:r>
    </w:p>
    <w:p>
      <w:bookmarkStart w:id="13" w:name="slide_13"/>
      <w:pPr>
        <w:pStyle w:val="Heading1"/>
        <w:pageBreakBefore/>
      </w:pPr>
      <w:r>
        <w:t>Slide 13</w:t>
      </w:r>
      <w:bookmarkEnd w:id="13"/>
    </w:p>
    <w:p>
      <w:pPr>
        <w:pStyle w:val="Heading2"/>
      </w:pPr>
      <w:r>
        <w:t>Kết quả phân loại và giới hạn dữ liệu</w:t>
      </w:r>
    </w:p>
    <w:p>
      <w:pPr>
        <w:spacing w:after="200"/>
      </w:pPr>
      <w:r>
        <w:rPr>
          <w:i/>
          <w:sz w:val="22"/>
        </w:rPr>
        <w:t>Người trình bày  Lý Tú Nguyên</w:t>
      </w:r>
    </w:p>
    <w:p>
      <w:pPr>
        <w:pStyle w:val="Heading3"/>
      </w:pPr>
      <w:r>
        <w:t>Lời nói chính</w:t>
      </w:r>
    </w:p>
    <w:p>
      <w:pPr/>
      <w:r>
        <w:t>Độ chính xác chung của chức năng phân loại đạt 89,06% trên sáu mươi bốn câu kiểm tra riêng. Biểu đồ cho thấy kết quả theo từng danh mục. Trong đó, nhà ở và ăn uống đạt sáu trên tám câu đúng, nên vẫn còn những mô tả mà mô hình phân biệt chưa tốt.</w:t>
      </w:r>
    </w:p>
    <w:p>
      <w:pPr/>
      <w:r>
        <w:t>Cần lưu ý mỗi nhóm chỉ có tám câu. Chỉ một câu sai đã làm tỷ lệ của nhóm thay đổi 12,5 điểm phần trăm. Vì vậy, nhóm không xem kết quả này là bảo đảm cho mọi cách diễn đạt ngoài thực tế. Hướng tiếp theo là bổ sung mô tả đa dạng, có sự cho phép của người dùng, và tiếp tục giữ bước kiểm tra gợi ý trước khi lưu.</w:t>
      </w:r>
    </w:p>
    <w:p>
      <w:pPr>
        <w:pStyle w:val="Heading3"/>
      </w:pPr>
      <w:r>
        <w:t>Nói thêm khi cần</w:t>
      </w:r>
    </w:p>
    <w:p>
      <w:pPr/>
      <w:r>
        <w:t>Biểu đồ theo danh mục giúp thấy hạn chế mà một tỷ lệ chung có thể che đi. Một nhóm đạt đủ tám câu vẫn chỉ được kiểm tra trên tám ví dụ. Khi mở rộng dữ liệu, nhóm cần thêm cách viết tắt, câu ít ngữ cảnh và mô tả dễ lẫn nhau.</w:t>
      </w:r>
    </w:p>
    <w:p>
      <w:pPr>
        <w:pStyle w:val="Heading3"/>
      </w:pPr>
      <w:r>
        <w:t>Chuyển ý</w:t>
      </w:r>
    </w:p>
    <w:p>
      <w:pPr/>
      <w:r>
        <w:rPr>
          <w:i/>
        </w:rPr>
        <w:t>Em xin mời bạn Lâm trình bày chatbot tư vấn, ví dụ sử dụng và kết quả kiểm chứng chung.</w:t>
      </w:r>
    </w:p>
    <w:p>
      <w:bookmarkStart w:id="14" w:name="slide_14"/>
      <w:pPr>
        <w:pStyle w:val="Heading1"/>
        <w:pageBreakBefore/>
      </w:pPr>
      <w:r>
        <w:t>Slide 14</w:t>
      </w:r>
      <w:bookmarkEnd w:id="14"/>
    </w:p>
    <w:p>
      <w:pPr>
        <w:pStyle w:val="Heading2"/>
      </w:pPr>
      <w:r>
        <w:t>Chatbot với QLoRA và số liệu có nguồn</w:t>
      </w:r>
    </w:p>
    <w:p>
      <w:pPr>
        <w:spacing w:after="200"/>
      </w:pPr>
      <w:r>
        <w:rPr>
          <w:i/>
          <w:sz w:val="22"/>
        </w:rPr>
        <w:t>Người trình bày  Nguyễn Tùng Lâm</w:t>
      </w:r>
    </w:p>
    <w:p>
      <w:pPr>
        <w:pStyle w:val="Heading3"/>
      </w:pPr>
      <w:r>
        <w:t>Lời nói chính</w:t>
      </w:r>
    </w:p>
    <w:p>
      <w:pPr/>
      <w:r>
        <w:t>Chatbot của ứng dụng dùng Qwen3 1.7B chạy cục bộ và đã hoàn tất tinh chỉnh QLoRA theo báo cáo ngày 14/10/2026. Có thể hiểu QLoRA là cách học thêm một phần tham số nhỏ trên mô hình nền bốn bit, giúp phù hợp hơn với tài nguyên máy.</w:t>
      </w:r>
    </w:p>
    <w:p>
      <w:pPr/>
      <w:r>
        <w:t>Tuy nhiên, tinh chỉnh không có nghĩa mọi câu trả lời đều đúng. Bản phát hành kết hợp thêm tài liệu tham chiếu và cơ chế kiểm tra số liệu tài chính. Khi hỏi về tài khoản, số tiền cùng kỳ báo cáo phải lấy từ dữ liệu đúng quyền. Lịch sử hội thoại được lưu riêng theo tài khoản. Chatbot hỗ trợ đọc và giải thích thông tin, không tự thực hiện giao dịch.</w:t>
      </w:r>
    </w:p>
    <w:p>
      <w:pPr>
        <w:pStyle w:val="Heading3"/>
      </w:pPr>
      <w:r>
        <w:t>Nói thêm khi cần</w:t>
      </w:r>
    </w:p>
    <w:p>
      <w:pPr/>
      <w:r>
        <w:t>Mô hình tinh chỉnh đứng riêng từng có câu đúng cấu trúc nhưng sai nội dung. Vì vậy, nhóm không dùng cách diễn đạt trôi chảy làm bằng chứng cho độ đúng. Bộ hội thoại giả lập còn nhỏ, nên cần tiếp tục kiểm tra ngữ nghĩa và đánh giá với tình huống sử dụng đa dạng hơn.</w:t>
      </w:r>
    </w:p>
    <w:p>
      <w:pPr>
        <w:pStyle w:val="Heading3"/>
      </w:pPr>
      <w:r>
        <w:t>Chuyển ý</w:t>
      </w:r>
    </w:p>
    <w:p>
      <w:pPr/>
      <w:r>
        <w:rPr>
          <w:i/>
        </w:rPr>
        <w:t>Slide tiếp theo minh họa cách chatbot trả lời một câu hỏi cụ thể có số tiền và kỳ dữ liệu.</w:t>
      </w:r>
    </w:p>
    <w:p>
      <w:bookmarkStart w:id="15" w:name="slide_15"/>
      <w:pPr>
        <w:pStyle w:val="Heading1"/>
        <w:pageBreakBefore/>
      </w:pPr>
      <w:r>
        <w:t>Slide 15</w:t>
      </w:r>
      <w:bookmarkEnd w:id="15"/>
    </w:p>
    <w:p>
      <w:pPr>
        <w:pStyle w:val="Heading2"/>
      </w:pPr>
      <w:r>
        <w:t>Ví dụ câu trả lời kèm nguồn dữ liệu</w:t>
      </w:r>
    </w:p>
    <w:p>
      <w:pPr>
        <w:spacing w:after="200"/>
      </w:pPr>
      <w:r>
        <w:rPr>
          <w:i/>
          <w:sz w:val="22"/>
        </w:rPr>
        <w:t>Người trình bày  Nguyễn Tùng Lâm</w:t>
      </w:r>
    </w:p>
    <w:p>
      <w:pPr>
        <w:pStyle w:val="Heading3"/>
      </w:pPr>
      <w:r>
        <w:t>Lời nói chính</w:t>
      </w:r>
    </w:p>
    <w:p>
      <w:pPr/>
      <w:r>
        <w:t>Ví dụ trên slide là câu hỏi: tháng này chi nhiều nhất ở đâu? Trong tài khoản demo, hệ thống trả lời danh mục ăn uống, với số tiền hai trăm năm mươi nghìn đồng và kỳ dữ liệu tháng mười năm hai nghìn không trăm hai mươi sáu. Đây là dữ liệu kiểm thử dùng để minh họa cách trình bày.</w:t>
      </w:r>
    </w:p>
    <w:p>
      <w:pPr/>
      <w:r>
        <w:t>Điểm cần chú ý là câu trả lời có danh mục, số tiền và khoảng thời gian để người dùng kiểm tra. Nếu thiếu kỳ dữ liệu, cùng một câu hỏi có thể bị hiểu khác nhau. Từ kết quả này, người dùng có thể xem lại giao dịch, hỏi ngân sách nào đã vượt rồi mở Trợ lý tài chính để cân nhắc phương án điều chỉnh.</w:t>
      </w:r>
    </w:p>
    <w:p>
      <w:pPr>
        <w:pStyle w:val="Heading3"/>
      </w:pPr>
      <w:r>
        <w:t>Nói thêm khi cần</w:t>
      </w:r>
    </w:p>
    <w:p>
      <w:pPr/>
      <w:r>
        <w:t>Ảnh minh họa cho thấy cách trả lời về dữ liệu tài khoản, không phải bằng chứng rằng chatbot đã đúng trong mọi trường hợp. Với câu hỏi so sánh các tháng hoặc hỏi nguyên nhân chi tăng, hệ thống vẫn cần xác định đủ dữ liệu và phạm vi trước khi giải thích.</w:t>
      </w:r>
    </w:p>
    <w:p>
      <w:pPr>
        <w:pStyle w:val="Heading3"/>
      </w:pPr>
      <w:r>
        <w:t>Chuyển ý</w:t>
      </w:r>
    </w:p>
    <w:p>
      <w:pPr/>
      <w:r>
        <w:rPr>
          <w:i/>
        </w:rPr>
        <w:t>Sau ví dụ sử dụng, em xin trình bày các kết quả kiểm chứng và hướng hoàn thiện của hệ thống.</w:t>
      </w:r>
    </w:p>
    <w:p>
      <w:bookmarkStart w:id="16" w:name="slide_16"/>
      <w:pPr>
        <w:pStyle w:val="Heading1"/>
        <w:pageBreakBefore/>
      </w:pPr>
      <w:r>
        <w:t>Slide 16</w:t>
      </w:r>
      <w:bookmarkEnd w:id="16"/>
    </w:p>
    <w:p>
      <w:pPr>
        <w:pStyle w:val="Heading2"/>
      </w:pPr>
      <w:r>
        <w:t>Kiểm chứng và hướng hoàn thiện</w:t>
      </w:r>
    </w:p>
    <w:p>
      <w:pPr>
        <w:spacing w:after="200"/>
      </w:pPr>
      <w:r>
        <w:rPr>
          <w:i/>
          <w:sz w:val="22"/>
        </w:rPr>
        <w:t>Người trình bày  Nguyễn Tùng Lâm</w:t>
      </w:r>
    </w:p>
    <w:p>
      <w:pPr>
        <w:pStyle w:val="Heading3"/>
      </w:pPr>
      <w:r>
        <w:t>Lời nói chính</w:t>
      </w:r>
    </w:p>
    <w:p>
      <w:pPr/>
      <w:r>
        <w:t>Theo mốc ngày 14/10/2026, ba bộ kiểm thử tự động ghi nhận một trăm năm mươi chín ca đạt, gồm ba mươi chín ca backend, hai mươi ba ca frontend và chín mươi bảy ca Python. Nội dung kiểm tra bao gồm nghiệp vụ, phân quyền, phép tính và cách các thành phần xử lý dữ liệu.</w:t>
      </w:r>
    </w:p>
    <w:p>
      <w:pPr/>
      <w:r>
        <w:t>Nhóm cũng kiểm tra riêng một luồng Advisor trên Chrome, giao diện máy tính và di động, chế độ sáng và tối. Các lượt chạy bổ sung bị trùng không được cộng thêm vào tổng số ca. Những giới hạn còn lại là dữ liệu tổng hợp, bộ hội thoại nhỏ và chưa có đánh giá độc lập với người dùng thực. Nhóm dự kiến mở rộng dữ liệu và kiểm tra tải.</w:t>
      </w:r>
    </w:p>
    <w:p>
      <w:pPr>
        <w:pStyle w:val="Heading3"/>
      </w:pPr>
      <w:r>
        <w:t>Nói thêm khi cần</w:t>
      </w:r>
    </w:p>
    <w:p>
      <w:pPr/>
      <w:r>
        <w:t>Số ca kiểm thử cho biết những tình huống đã được kiểm tra trong phạm vi dự án. Nó không thay thế đánh giá chất lượng tư vấn hoặc hiệu quả với người dùng thực. Khi mở rộng, nhóm cần theo dõi cả lỗi nghiệp vụ, chất lượng câu trả lời và khả năng phục vụ nhiều yêu cầu.</w:t>
      </w:r>
    </w:p>
    <w:p>
      <w:pPr>
        <w:pStyle w:val="Heading3"/>
      </w:pPr>
      <w:r>
        <w:t>Chuyển ý</w:t>
      </w:r>
    </w:p>
    <w:p>
      <w:pPr/>
      <w:r>
        <w:rPr>
          <w:i/>
        </w:rPr>
        <w:t>Đó là các kết quả và giới hạn hiện tại. Em xin chuyển sang phần kết thúc bài trình bày.</w:t>
      </w:r>
    </w:p>
    <w:p>
      <w:bookmarkStart w:id="17" w:name="slide_17"/>
      <w:pPr>
        <w:pStyle w:val="Heading1"/>
        <w:pageBreakBefore/>
      </w:pPr>
      <w:r>
        <w:t>Slide 17</w:t>
      </w:r>
      <w:bookmarkEnd w:id="17"/>
    </w:p>
    <w:p>
      <w:pPr>
        <w:pStyle w:val="Heading2"/>
      </w:pPr>
      <w:r>
        <w:t>Cảm ơn thầy cô và các bạn</w:t>
      </w:r>
    </w:p>
    <w:p>
      <w:pPr>
        <w:spacing w:after="200"/>
      </w:pPr>
      <w:r>
        <w:rPr>
          <w:i/>
          <w:sz w:val="22"/>
        </w:rPr>
        <w:t>Người trình bày  Nguyễn Tùng Lâm</w:t>
      </w:r>
    </w:p>
    <w:p>
      <w:pPr>
        <w:pStyle w:val="Heading3"/>
      </w:pPr>
      <w:r>
        <w:t>Lời nói chính</w:t>
      </w:r>
    </w:p>
    <w:p>
      <w:pPr/>
      <w:r>
        <w:t>Phần trình bày của nhóm em đến đây là kết thúc. Qua FinSight, nhóm đã xây dựng luồng từ ghi nhận thu chi đến phân tích, dự phóng số dư và thử kế hoạch. Các mô hình giúp người dùng xem xét thông tin, còn dữ liệu đúng quyền và phép tính nhất quán là nền tảng của ứng dụng.</w:t>
      </w:r>
    </w:p>
    <w:p>
      <w:pPr/>
      <w:r>
        <w:t>Nhóm cũng đã nêu rõ giới hạn của dữ liệu tổng hợp và phạm vi kiểm chứng hiện tại. Nhóm em xin cảm ơn ThS. Nguyễn Đỗ Công Pháp, thầy cô và các bạn đã lắng nghe. Chúng em mong nhận được câu hỏi và góp ý để tiếp tục hoàn thiện sản phẩm.</w:t>
      </w:r>
    </w:p>
    <w:p>
      <w:pPr>
        <w:pStyle w:val="Heading3"/>
      </w:pPr>
      <w:r>
        <w:t>Nói thêm khi cần</w:t>
      </w:r>
    </w:p>
    <w:p>
      <w:pPr/>
      <w:r>
        <w:t>Mục tiêu của FinSight là hỗ trợ người dùng chủ động trước các khoản chi sắp đến. Người dùng có thể đối chiếu thông tin với giao dịch đã ghi nhận và thử nhiều phương án trước khi đưa ra quyết định.</w:t>
      </w:r>
    </w:p>
    <w:p>
      <w:pPr>
        <w:pStyle w:val="Heading3"/>
      </w:pPr>
      <w:r>
        <w:t>Kết thúc</w:t>
      </w:r>
    </w:p>
    <w:p>
      <w:pPr/>
      <w:r>
        <w:rPr>
          <w:i/>
        </w:rPr>
        <w:t>Nhóm em xin dừng phần trình bày tại đây và sẵn sàng nhận câu hỏi của thầy cô.</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FinSight AI   Lời thuyết trình theo slide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eastAsia="Arial" w:cs="Arial"/>
      <w:b w:val="0"/>
      <w:color w:val="000000"/>
      <w:sz w:val="28"/>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18"/>
      <w:lang w:val="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lang w:val="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eastAsia="Arial" w:cs="Arial"/>
      <w:b/>
      <w:bCs/>
      <w:color w:val="000000"/>
      <w:sz w:val="26"/>
      <w:szCs w:val="28"/>
      <w:lang w:val="vi-VN"/>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Theme="majorHAnsi" w:eastAsiaTheme="majorEastAsia" w:hAnsiTheme="majorHAnsi" w:cstheme="majorBidi" w:ascii="Arial" w:hAnsi="Arial" w:eastAsia="Arial" w:cs="Arial"/>
      <w:b/>
      <w:bCs/>
      <w:color w:val="000000"/>
      <w:sz w:val="42"/>
      <w:szCs w:val="26"/>
      <w:lang w:val="vi-VN"/>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cs="Arial"/>
      <w:b/>
      <w:bCs/>
      <w:color w:val="000000"/>
      <w:sz w:val="26"/>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s="Arial"/>
      <w:b/>
      <w:color w:val="000000"/>
      <w:spacing w:val="5"/>
      <w:kern w:val="28"/>
      <w:sz w:val="52"/>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eastAsia="Arial" w:cs="Arial"/>
      <w:b w:val="0"/>
      <w:i/>
      <w:iCs/>
      <w:color w:val="000000"/>
      <w:spacing w:val="15"/>
      <w:sz w:val="30"/>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color w:val="000000"/>
      <w:sz w:val="22"/>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thuyết trình FinSight AI</dc:title>
  <dc:subject>Lời nói chính và nội dung mở rộng tương ứng 17 slide</dc:subject>
  <dc:creator>Nhóm FinSight AI</dc:creator>
  <cp:keywords>FinSight, lời thuyết trình, 17 slide</cp:keywords>
  <dc:description/>
  <cp:lastModifiedBy/>
  <cp:revision>1</cp:revision>
  <dcterms:created xsi:type="dcterms:W3CDTF">2013-12-23T23:15:00Z</dcterms:created>
  <dcterms:modified xsi:type="dcterms:W3CDTF">2013-12-23T23:15:00Z</dcterms:modified>
  <cp:category/>
</cp:coreProperties>
</file>