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72033"/>
          <w:sz w:val="52"/>
        </w:rPr>
        <w:t>Customer 360</w:t>
        <w:br/>
        <w:t>AI Agent Type Taxonomy</w:t>
      </w:r>
    </w:p>
    <w:p>
      <w:pPr>
        <w:spacing w:before="160"/>
      </w:pPr>
      <w:r>
        <w:rPr>
          <w:color w:val="5B6472"/>
          <w:sz w:val="24"/>
        </w:rPr>
        <w:t>A canonical taxonomy for predictive ML, segmentation, recommendation, decisioning, graph intelligence, policy execution, and generative AI in an Agentic Customer 360 platform.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3600"/>
      </w:tblGrid>
      <w:tr>
        <w:tc>
          <w:tcPr>
            <w:tcW w:type="dxa" w:w="3408"/>
            <w:shd w:fill="F3F0FF"/>
          </w:tcPr>
          <w:p>
            <w:pPr>
              <w:jc w:val="center"/>
            </w:pPr>
            <w:r>
              <w:rPr>
                <w:b/>
                <w:color w:val="6D4AFF"/>
                <w:sz w:val="36"/>
              </w:rPr>
              <w:t>12</w:t>
              <w:br/>
            </w:r>
            <w:r>
              <w:rPr>
                <w:color w:val="5B6472"/>
                <w:sz w:val="17"/>
              </w:rPr>
              <w:t>Core Agent Types</w:t>
            </w:r>
          </w:p>
        </w:tc>
        <w:tc>
          <w:tcPr>
            <w:tcW w:type="dxa" w:w="3408"/>
            <w:shd w:fill="F7F8FA"/>
          </w:tcPr>
          <w:p>
            <w:pPr>
              <w:jc w:val="center"/>
            </w:pPr>
            <w:r>
              <w:rPr>
                <w:b/>
                <w:color w:val="172033"/>
                <w:sz w:val="36"/>
              </w:rPr>
              <w:t>1</w:t>
              <w:br/>
            </w:r>
            <w:r>
              <w:rPr>
                <w:color w:val="5B6472"/>
                <w:sz w:val="17"/>
              </w:rPr>
              <w:t>Canonical Type per Agent</w:t>
            </w:r>
          </w:p>
        </w:tc>
        <w:tc>
          <w:tcPr>
            <w:tcW w:type="dxa" w:w="3408"/>
            <w:shd w:fill="F7F8FA"/>
          </w:tcPr>
          <w:p>
            <w:pPr>
              <w:jc w:val="center"/>
            </w:pPr>
            <w:r>
              <w:rPr>
                <w:b/>
                <w:color w:val="172033"/>
                <w:sz w:val="36"/>
              </w:rPr>
              <w:t>Separate</w:t>
              <w:br/>
            </w:r>
            <w:r>
              <w:rPr>
                <w:color w:val="5B6472"/>
                <w:sz w:val="17"/>
              </w:rPr>
              <w:t>Business Capability / Use Case</w:t>
            </w:r>
          </w:p>
        </w:tc>
      </w:tr>
    </w:tbl>
    <w:p/>
    <w:p>
      <w:pPr>
        <w:pStyle w:val="SmallNote"/>
      </w:pPr>
      <w:r>
        <w:rPr>
          <w:b/>
        </w:rPr>
        <w:t xml:space="preserve">Source alignment: </w:t>
      </w:r>
      <w:r>
        <w:t>The current Customer 360 registry separates model_type from model_name and stores runtime inputs, hyperparameters, prompts, instructions, and lifecycle status. The taxonomy below expands model_type from the original five-value list to the agreed 12-value execution taxonomy.</w:t>
      </w:r>
    </w:p>
    <w:p>
      <w:pPr>
        <w:pStyle w:val="Heading1"/>
        <w:keepNext/>
        <w:spacing w:before="160"/>
      </w:pPr>
      <w:r>
        <w:t>1. 12 Core Agent 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880"/>
        <w:gridCol w:w="2952"/>
        <w:gridCol w:w="4680"/>
      </w:tblGrid>
      <w:tr>
        <w:trPr>
          <w:tblHeader w:val="true"/>
        </w:trPr>
        <w:tc>
          <w:tcPr>
            <w:tcW w:type="dxa" w:w="2556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Agent Type</w:t>
            </w:r>
          </w:p>
        </w:tc>
        <w:tc>
          <w:tcPr>
            <w:tcW w:type="dxa" w:w="2556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556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Role in Customer 360</w:t>
            </w:r>
          </w:p>
        </w:tc>
      </w:tr>
      <w:tr>
        <w:tc>
          <w:tcPr>
            <w:tcW w:type="dxa" w:w="54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6D4AFF"/>
                <w:sz w:val="18"/>
              </w:rPr>
              <w:t>1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8"/>
              </w:rPr>
              <w:t>Classification</w:t>
            </w:r>
          </w:p>
        </w:tc>
        <w:tc>
          <w:tcPr>
            <w:tcW w:type="dxa" w:w="295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classification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Predict customer class, state, or outcome.</w:t>
            </w:r>
          </w:p>
        </w:tc>
      </w:tr>
      <w:tr>
        <w:tc>
          <w:tcPr>
            <w:tcW w:type="dxa" w:w="547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6D4AFF"/>
                <w:sz w:val="18"/>
              </w:rPr>
              <w:t>2</w:t>
            </w:r>
          </w:p>
        </w:tc>
        <w:tc>
          <w:tcPr>
            <w:tcW w:type="dxa" w:w="2880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8"/>
              </w:rPr>
              <w:t>Regression</w:t>
            </w:r>
          </w:p>
        </w:tc>
        <w:tc>
          <w:tcPr>
            <w:tcW w:type="dxa" w:w="2952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regression</w:t>
            </w:r>
          </w:p>
        </w:tc>
        <w:tc>
          <w:tcPr>
            <w:tcW w:type="dxa" w:w="4680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Predict continuous customer or business values.</w:t>
            </w:r>
          </w:p>
        </w:tc>
      </w:tr>
      <w:tr>
        <w:tc>
          <w:tcPr>
            <w:tcW w:type="dxa" w:w="54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6D4AFF"/>
                <w:sz w:val="18"/>
              </w:rPr>
              <w:t>3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8"/>
              </w:rPr>
              <w:t>Clustering</w:t>
            </w:r>
          </w:p>
        </w:tc>
        <w:tc>
          <w:tcPr>
            <w:tcW w:type="dxa" w:w="295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clustering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Discover behavioral customer groups and segments.</w:t>
            </w:r>
          </w:p>
        </w:tc>
      </w:tr>
      <w:tr>
        <w:tc>
          <w:tcPr>
            <w:tcW w:type="dxa" w:w="547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6D4AFF"/>
                <w:sz w:val="18"/>
              </w:rPr>
              <w:t>4</w:t>
            </w:r>
          </w:p>
        </w:tc>
        <w:tc>
          <w:tcPr>
            <w:tcW w:type="dxa" w:w="2880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8"/>
              </w:rPr>
              <w:t>Ranking &amp; Recommendation</w:t>
            </w:r>
          </w:p>
        </w:tc>
        <w:tc>
          <w:tcPr>
            <w:tcW w:type="dxa" w:w="2952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ranking_recommendation</w:t>
            </w:r>
          </w:p>
        </w:tc>
        <w:tc>
          <w:tcPr>
            <w:tcW w:type="dxa" w:w="4680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Rank products, content, offers, campaigns, or actions.</w:t>
            </w:r>
          </w:p>
        </w:tc>
      </w:tr>
      <w:tr>
        <w:tc>
          <w:tcPr>
            <w:tcW w:type="dxa" w:w="54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6D4AFF"/>
                <w:sz w:val="18"/>
              </w:rPr>
              <w:t>5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8"/>
              </w:rPr>
              <w:t>Forecasting</w:t>
            </w:r>
          </w:p>
        </w:tc>
        <w:tc>
          <w:tcPr>
            <w:tcW w:type="dxa" w:w="295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forecasting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Predict future customer or business behavior.</w:t>
            </w:r>
          </w:p>
        </w:tc>
      </w:tr>
      <w:tr>
        <w:tc>
          <w:tcPr>
            <w:tcW w:type="dxa" w:w="547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6D4AFF"/>
                <w:sz w:val="18"/>
              </w:rPr>
              <w:t>6</w:t>
            </w:r>
          </w:p>
        </w:tc>
        <w:tc>
          <w:tcPr>
            <w:tcW w:type="dxa" w:w="2880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8"/>
              </w:rPr>
              <w:t>Anomaly Detection</w:t>
            </w:r>
          </w:p>
        </w:tc>
        <w:tc>
          <w:tcPr>
            <w:tcW w:type="dxa" w:w="2952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anomaly_detection</w:t>
            </w:r>
          </w:p>
        </w:tc>
        <w:tc>
          <w:tcPr>
            <w:tcW w:type="dxa" w:w="4680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Detect unusual customer behavior, events, or data.</w:t>
            </w:r>
          </w:p>
        </w:tc>
      </w:tr>
      <w:tr>
        <w:tc>
          <w:tcPr>
            <w:tcW w:type="dxa" w:w="54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6D4AFF"/>
                <w:sz w:val="18"/>
              </w:rPr>
              <w:t>7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8"/>
              </w:rPr>
              <w:t>Uplift Modeling</w:t>
            </w:r>
          </w:p>
        </w:tc>
        <w:tc>
          <w:tcPr>
            <w:tcW w:type="dxa" w:w="295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uplift_modeling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Identify customers most likely to change because of an intervention.</w:t>
            </w:r>
          </w:p>
        </w:tc>
      </w:tr>
      <w:tr>
        <w:tc>
          <w:tcPr>
            <w:tcW w:type="dxa" w:w="547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6D4AFF"/>
                <w:sz w:val="18"/>
              </w:rPr>
              <w:t>8</w:t>
            </w:r>
          </w:p>
        </w:tc>
        <w:tc>
          <w:tcPr>
            <w:tcW w:type="dxa" w:w="2880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8"/>
              </w:rPr>
              <w:t>Semantic / Embedding</w:t>
            </w:r>
          </w:p>
        </w:tc>
        <w:tc>
          <w:tcPr>
            <w:tcW w:type="dxa" w:w="2952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semantic_embedding</w:t>
            </w:r>
          </w:p>
        </w:tc>
        <w:tc>
          <w:tcPr>
            <w:tcW w:type="dxa" w:w="4680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Understand similarity, intent, interests, and content.</w:t>
            </w:r>
          </w:p>
        </w:tc>
      </w:tr>
      <w:tr>
        <w:tc>
          <w:tcPr>
            <w:tcW w:type="dxa" w:w="54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6D4AFF"/>
                <w:sz w:val="18"/>
              </w:rPr>
              <w:t>9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8"/>
              </w:rPr>
              <w:t>Graph Intelligence</w:t>
            </w:r>
          </w:p>
        </w:tc>
        <w:tc>
          <w:tcPr>
            <w:tcW w:type="dxa" w:w="295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graph_ml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Analyze identity, relationships, influence, and connections.</w:t>
            </w:r>
          </w:p>
        </w:tc>
      </w:tr>
      <w:tr>
        <w:tc>
          <w:tcPr>
            <w:tcW w:type="dxa" w:w="547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6D4AFF"/>
                <w:sz w:val="18"/>
              </w:rPr>
              <w:t>10</w:t>
            </w:r>
          </w:p>
        </w:tc>
        <w:tc>
          <w:tcPr>
            <w:tcW w:type="dxa" w:w="2880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8"/>
              </w:rPr>
              <w:t>Optimization / Decisioning</w:t>
            </w:r>
          </w:p>
        </w:tc>
        <w:tc>
          <w:tcPr>
            <w:tcW w:type="dxa" w:w="2952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optimization</w:t>
            </w:r>
          </w:p>
        </w:tc>
        <w:tc>
          <w:tcPr>
            <w:tcW w:type="dxa" w:w="4680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Choose the best action under business constraints.</w:t>
            </w:r>
          </w:p>
        </w:tc>
      </w:tr>
      <w:tr>
        <w:tc>
          <w:tcPr>
            <w:tcW w:type="dxa" w:w="54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6D4AFF"/>
                <w:sz w:val="18"/>
              </w:rPr>
              <w:t>11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8"/>
              </w:rPr>
              <w:t>Rules Engine</w:t>
            </w:r>
          </w:p>
        </w:tc>
        <w:tc>
          <w:tcPr>
            <w:tcW w:type="dxa" w:w="295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rules_engine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Apply deterministic business logic and policies.</w:t>
            </w:r>
          </w:p>
        </w:tc>
      </w:tr>
      <w:tr>
        <w:tc>
          <w:tcPr>
            <w:tcW w:type="dxa" w:w="547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6D4AFF"/>
                <w:sz w:val="18"/>
              </w:rPr>
              <w:t>12</w:t>
            </w:r>
          </w:p>
        </w:tc>
        <w:tc>
          <w:tcPr>
            <w:tcW w:type="dxa" w:w="2880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8"/>
              </w:rPr>
              <w:t>Generative LLM</w:t>
            </w:r>
          </w:p>
        </w:tc>
        <w:tc>
          <w:tcPr>
            <w:tcW w:type="dxa" w:w="2952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generative_llm</w:t>
            </w:r>
          </w:p>
        </w:tc>
        <w:tc>
          <w:tcPr>
            <w:tcW w:type="dxa" w:w="4680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Reason, generate, explain, summarize, and orchestrate.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Detailed Agent Type Definitions</w:t>
      </w:r>
    </w:p>
    <w:p>
      <w:pPr>
        <w:spacing w:after="160"/>
      </w:pPr>
      <w:r>
        <w:t>Each type describes how the agent operates. A business capability such as lead scoring, churn prediction, next-best-action, or campaign planning is a use case implemented by one of these execution types—not a new type.</w:t>
      </w:r>
    </w:p>
    <w:p>
      <w:pPr>
        <w:pStyle w:val="Heading2"/>
        <w:keepNext/>
        <w:spacing w:before="140" w:after="40"/>
      </w:pPr>
      <w:r>
        <w:t>1. Classification</w:t>
      </w:r>
      <w:r>
        <w:rPr>
          <w:b w:val="0"/>
          <w:color w:val="5B6472"/>
          <w:sz w:val="18"/>
        </w:rPr>
        <w:t xml:space="preserve">  (classification)</w:t>
      </w:r>
    </w:p>
    <w:p>
      <w:pPr>
        <w:spacing w:after="40"/>
        <w:ind w:left="144"/>
      </w:pPr>
      <w:r>
        <w:t>Predict a discrete customer class, state, or outcome from structured or derived features.</w:t>
      </w:r>
    </w:p>
    <w:p>
      <w:pPr>
        <w:pStyle w:val="ListBullet"/>
        <w:spacing w:after="40"/>
      </w:pPr>
      <w:r>
        <w:t>Lead qualification and conversion likelihood</w:t>
      </w:r>
    </w:p>
    <w:p>
      <w:pPr>
        <w:pStyle w:val="ListBullet"/>
        <w:spacing w:after="40"/>
      </w:pPr>
      <w:r>
        <w:t>Churn-risk classification</w:t>
      </w:r>
    </w:p>
    <w:p>
      <w:pPr>
        <w:pStyle w:val="ListBullet"/>
        <w:spacing w:after="40"/>
      </w:pPr>
      <w:r>
        <w:t>Persona or lifecycle-state classification</w:t>
      </w:r>
    </w:p>
    <w:p>
      <w:pPr>
        <w:pStyle w:val="ListBullet"/>
        <w:spacing w:after="40"/>
      </w:pPr>
      <w:r>
        <w:t>Purchase / response classes</w:t>
      </w:r>
    </w:p>
    <w:p>
      <w:pPr>
        <w:ind w:left="144"/>
      </w:pPr>
      <w:r>
        <w:rPr>
          <w:i/>
          <w:color w:val="5B6472"/>
          <w:sz w:val="18"/>
        </w:rPr>
        <w:t>Typical outputs: label, probability, confidence, tier.</w:t>
      </w:r>
    </w:p>
    <w:p>
      <w:pPr>
        <w:pStyle w:val="Heading2"/>
        <w:keepNext/>
        <w:spacing w:before="140" w:after="40"/>
      </w:pPr>
      <w:r>
        <w:t>2. Regression</w:t>
      </w:r>
      <w:r>
        <w:rPr>
          <w:b w:val="0"/>
          <w:color w:val="5B6472"/>
          <w:sz w:val="18"/>
        </w:rPr>
        <w:t xml:space="preserve">  (regression)</w:t>
      </w:r>
    </w:p>
    <w:p>
      <w:pPr>
        <w:spacing w:after="40"/>
        <w:ind w:left="144"/>
      </w:pPr>
      <w:r>
        <w:t>Predict a continuous numeric value for a customer, segment, product, or campaign.</w:t>
      </w:r>
    </w:p>
    <w:p>
      <w:pPr>
        <w:pStyle w:val="ListBullet"/>
        <w:spacing w:after="40"/>
      </w:pPr>
      <w:r>
        <w:t>Customer Lifetime Value (CLV)</w:t>
      </w:r>
    </w:p>
    <w:p>
      <w:pPr>
        <w:pStyle w:val="ListBullet"/>
        <w:spacing w:after="40"/>
      </w:pPr>
      <w:r>
        <w:t>Expected revenue or spend</w:t>
      </w:r>
    </w:p>
    <w:p>
      <w:pPr>
        <w:pStyle w:val="ListBullet"/>
        <w:spacing w:after="40"/>
      </w:pPr>
      <w:r>
        <w:t>Expected order value</w:t>
      </w:r>
    </w:p>
    <w:p>
      <w:pPr>
        <w:pStyle w:val="ListBullet"/>
        <w:spacing w:after="40"/>
      </w:pPr>
      <w:r>
        <w:t>Value or demand estimates</w:t>
      </w:r>
    </w:p>
    <w:p>
      <w:pPr>
        <w:ind w:left="144"/>
      </w:pPr>
      <w:r>
        <w:rPr>
          <w:i/>
          <w:color w:val="5B6472"/>
          <w:sz w:val="18"/>
        </w:rPr>
        <w:t>Typical outputs: numeric value, confidence interval, value tier.</w:t>
      </w:r>
    </w:p>
    <w:p>
      <w:pPr>
        <w:pStyle w:val="Heading2"/>
        <w:keepNext/>
        <w:spacing w:before="140" w:after="40"/>
      </w:pPr>
      <w:r>
        <w:t>3. Clustering</w:t>
      </w:r>
      <w:r>
        <w:rPr>
          <w:b w:val="0"/>
          <w:color w:val="5B6472"/>
          <w:sz w:val="18"/>
        </w:rPr>
        <w:t xml:space="preserve">  (clustering)</w:t>
      </w:r>
    </w:p>
    <w:p>
      <w:pPr>
        <w:spacing w:after="40"/>
        <w:ind w:left="144"/>
      </w:pPr>
      <w:r>
        <w:t>Discover natural behavioral groups from customer attributes, events, journeys, or embeddings.</w:t>
      </w:r>
    </w:p>
    <w:p>
      <w:pPr>
        <w:pStyle w:val="ListBullet"/>
        <w:spacing w:after="40"/>
      </w:pPr>
      <w:r>
        <w:t>Behavioral segmentation</w:t>
      </w:r>
    </w:p>
    <w:p>
      <w:pPr>
        <w:pStyle w:val="ListBullet"/>
        <w:spacing w:after="40"/>
      </w:pPr>
      <w:r>
        <w:t>Journey clustering</w:t>
      </w:r>
    </w:p>
    <w:p>
      <w:pPr>
        <w:pStyle w:val="ListBullet"/>
        <w:spacing w:after="40"/>
      </w:pPr>
      <w:r>
        <w:t>Customer similarity groups</w:t>
      </w:r>
    </w:p>
    <w:p>
      <w:pPr>
        <w:pStyle w:val="ListBullet"/>
        <w:spacing w:after="40"/>
      </w:pPr>
      <w:r>
        <w:t>Persona discovery</w:t>
      </w:r>
    </w:p>
    <w:p>
      <w:pPr>
        <w:ind w:left="144"/>
      </w:pPr>
      <w:r>
        <w:rPr>
          <w:i/>
          <w:color w:val="5B6472"/>
          <w:sz w:val="18"/>
        </w:rPr>
        <w:t>Typical outputs: cluster ID, cluster label, membership score, cluster profile.</w:t>
      </w:r>
    </w:p>
    <w:p>
      <w:pPr>
        <w:pStyle w:val="Heading2"/>
        <w:keepNext/>
        <w:spacing w:before="140" w:after="40"/>
      </w:pPr>
      <w:r>
        <w:t>4. Ranking &amp; Recommendation</w:t>
      </w:r>
      <w:r>
        <w:rPr>
          <w:b w:val="0"/>
          <w:color w:val="5B6472"/>
          <w:sz w:val="18"/>
        </w:rPr>
        <w:t xml:space="preserve">  (ranking_recommendation)</w:t>
      </w:r>
    </w:p>
    <w:p>
      <w:pPr>
        <w:spacing w:after="40"/>
        <w:ind w:left="144"/>
      </w:pPr>
      <w:r>
        <w:t>Rank candidate items, actions, content, or offers according to customer relevance and business context.</w:t>
      </w:r>
    </w:p>
    <w:p>
      <w:pPr>
        <w:pStyle w:val="ListBullet"/>
        <w:spacing w:after="40"/>
      </w:pPr>
      <w:r>
        <w:t>Product recommendation</w:t>
      </w:r>
    </w:p>
    <w:p>
      <w:pPr>
        <w:pStyle w:val="ListBullet"/>
        <w:spacing w:after="40"/>
      </w:pPr>
      <w:r>
        <w:t>Offer ranking</w:t>
      </w:r>
    </w:p>
    <w:p>
      <w:pPr>
        <w:pStyle w:val="ListBullet"/>
        <w:spacing w:after="40"/>
      </w:pPr>
      <w:r>
        <w:t>Content recommendation</w:t>
      </w:r>
    </w:p>
    <w:p>
      <w:pPr>
        <w:pStyle w:val="ListBullet"/>
        <w:spacing w:after="40"/>
      </w:pPr>
      <w:r>
        <w:t>Next-best-content ranking</w:t>
      </w:r>
    </w:p>
    <w:p>
      <w:pPr>
        <w:ind w:left="144"/>
      </w:pPr>
      <w:r>
        <w:rPr>
          <w:i/>
          <w:color w:val="5B6472"/>
          <w:sz w:val="18"/>
        </w:rPr>
        <w:t>Typical outputs: ranked items, relevance score, recommendation reason.</w:t>
      </w:r>
    </w:p>
    <w:p>
      <w:pPr>
        <w:pStyle w:val="Heading2"/>
        <w:keepNext/>
        <w:spacing w:before="140" w:after="40"/>
      </w:pPr>
      <w:r>
        <w:t>5. Forecasting</w:t>
      </w:r>
      <w:r>
        <w:rPr>
          <w:b w:val="0"/>
          <w:color w:val="5B6472"/>
          <w:sz w:val="18"/>
        </w:rPr>
        <w:t xml:space="preserve">  (forecasting)</w:t>
      </w:r>
    </w:p>
    <w:p>
      <w:pPr>
        <w:spacing w:after="40"/>
        <w:ind w:left="144"/>
      </w:pPr>
      <w:r>
        <w:t>Predict future customer or business behavior over time from historical time-series signals.</w:t>
      </w:r>
    </w:p>
    <w:p>
      <w:pPr>
        <w:pStyle w:val="ListBullet"/>
        <w:spacing w:after="40"/>
      </w:pPr>
      <w:r>
        <w:t>Customer demand</w:t>
      </w:r>
    </w:p>
    <w:p>
      <w:pPr>
        <w:pStyle w:val="ListBullet"/>
        <w:spacing w:after="40"/>
      </w:pPr>
      <w:r>
        <w:t>Revenue and order forecast</w:t>
      </w:r>
    </w:p>
    <w:p>
      <w:pPr>
        <w:pStyle w:val="ListBullet"/>
        <w:spacing w:after="40"/>
      </w:pPr>
      <w:r>
        <w:t>Segment growth</w:t>
      </w:r>
    </w:p>
    <w:p>
      <w:pPr>
        <w:pStyle w:val="ListBullet"/>
        <w:spacing w:after="40"/>
      </w:pPr>
      <w:r>
        <w:t>Future engagement or activity</w:t>
      </w:r>
    </w:p>
    <w:p>
      <w:pPr>
        <w:ind w:left="144"/>
      </w:pPr>
      <w:r>
        <w:rPr>
          <w:i/>
          <w:color w:val="5B6472"/>
          <w:sz w:val="18"/>
        </w:rPr>
        <w:t>Typical outputs: forecast series, trend, lower/upper bounds, confidence.</w:t>
      </w:r>
    </w:p>
    <w:p>
      <w:pPr>
        <w:pStyle w:val="Heading2"/>
        <w:keepNext/>
        <w:spacing w:before="140" w:after="40"/>
      </w:pPr>
      <w:r>
        <w:t>6. Anomaly Detection</w:t>
      </w:r>
      <w:r>
        <w:rPr>
          <w:b w:val="0"/>
          <w:color w:val="5B6472"/>
          <w:sz w:val="18"/>
        </w:rPr>
        <w:t xml:space="preserve">  (anomaly_detection)</w:t>
      </w:r>
    </w:p>
    <w:p>
      <w:pPr>
        <w:spacing w:after="40"/>
        <w:ind w:left="144"/>
      </w:pPr>
      <w:r>
        <w:t>Identify significant deviations from expected customer behavior, event patterns, or data behavior.</w:t>
      </w:r>
    </w:p>
    <w:p>
      <w:pPr>
        <w:pStyle w:val="ListBullet"/>
        <w:spacing w:after="40"/>
      </w:pPr>
      <w:r>
        <w:t>Abnormal customer behavior</w:t>
      </w:r>
    </w:p>
    <w:p>
      <w:pPr>
        <w:pStyle w:val="ListBullet"/>
        <w:spacing w:after="40"/>
      </w:pPr>
      <w:r>
        <w:t>Tracking anomalies</w:t>
      </w:r>
    </w:p>
    <w:p>
      <w:pPr>
        <w:pStyle w:val="ListBullet"/>
        <w:spacing w:after="40"/>
      </w:pPr>
      <w:r>
        <w:t>Transaction-pattern anomalies</w:t>
      </w:r>
    </w:p>
    <w:p>
      <w:pPr>
        <w:pStyle w:val="ListBullet"/>
        <w:spacing w:after="40"/>
      </w:pPr>
      <w:r>
        <w:t>Data quality anomalies</w:t>
      </w:r>
    </w:p>
    <w:p>
      <w:pPr>
        <w:ind w:left="144"/>
      </w:pPr>
      <w:r>
        <w:rPr>
          <w:i/>
          <w:color w:val="5B6472"/>
          <w:sz w:val="18"/>
        </w:rPr>
        <w:t>Typical outputs: anomaly score, anomaly flag, observable signals, explanation.</w:t>
      </w:r>
    </w:p>
    <w:p>
      <w:pPr>
        <w:pStyle w:val="Heading2"/>
        <w:keepNext/>
        <w:spacing w:before="140" w:after="40"/>
      </w:pPr>
      <w:r>
        <w:t>7. Uplift Modeling</w:t>
      </w:r>
      <w:r>
        <w:rPr>
          <w:b w:val="0"/>
          <w:color w:val="5B6472"/>
          <w:sz w:val="18"/>
        </w:rPr>
        <w:t xml:space="preserve">  (uplift_modeling)</w:t>
      </w:r>
    </w:p>
    <w:p>
      <w:pPr>
        <w:spacing w:after="40"/>
        <w:ind w:left="144"/>
      </w:pPr>
      <w:r>
        <w:t>Estimate incremental treatment effect and identify customers who are most likely to change because of an intervention.</w:t>
      </w:r>
    </w:p>
    <w:p>
      <w:pPr>
        <w:pStyle w:val="ListBullet"/>
        <w:spacing w:after="40"/>
      </w:pPr>
      <w:r>
        <w:t>Campaign uplift</w:t>
      </w:r>
    </w:p>
    <w:p>
      <w:pPr>
        <w:pStyle w:val="ListBullet"/>
        <w:spacing w:after="40"/>
      </w:pPr>
      <w:r>
        <w:t>Promotion response</w:t>
      </w:r>
    </w:p>
    <w:p>
      <w:pPr>
        <w:pStyle w:val="ListBullet"/>
        <w:spacing w:after="40"/>
      </w:pPr>
      <w:r>
        <w:t>Retention treatment</w:t>
      </w:r>
    </w:p>
    <w:p>
      <w:pPr>
        <w:pStyle w:val="ListBullet"/>
        <w:spacing w:after="40"/>
      </w:pPr>
      <w:r>
        <w:t>Incremental conversion targeting</w:t>
      </w:r>
    </w:p>
    <w:p>
      <w:pPr>
        <w:ind w:left="144"/>
      </w:pPr>
      <w:r>
        <w:rPr>
          <w:i/>
          <w:color w:val="5B6472"/>
          <w:sz w:val="18"/>
        </w:rPr>
        <w:t>Typical outputs: uplift score, uplift tier, treatment recommendation, estimated effect.</w:t>
      </w:r>
    </w:p>
    <w:p>
      <w:pPr>
        <w:pStyle w:val="Heading2"/>
        <w:keepNext/>
        <w:spacing w:before="140" w:after="40"/>
      </w:pPr>
      <w:r>
        <w:t>8. Semantic / Embedding</w:t>
      </w:r>
      <w:r>
        <w:rPr>
          <w:b w:val="0"/>
          <w:color w:val="5B6472"/>
          <w:sz w:val="18"/>
        </w:rPr>
        <w:t xml:space="preserve">  (semantic_embedding)</w:t>
      </w:r>
    </w:p>
    <w:p>
      <w:pPr>
        <w:spacing w:after="40"/>
        <w:ind w:left="144"/>
      </w:pPr>
      <w:r>
        <w:t>Represent and compare customers, content, products, and intent in vector space for semantic retrieval and personalization.</w:t>
      </w:r>
    </w:p>
    <w:p>
      <w:pPr>
        <w:pStyle w:val="ListBullet"/>
        <w:spacing w:after="40"/>
      </w:pPr>
      <w:r>
        <w:t>Customer similarity</w:t>
      </w:r>
    </w:p>
    <w:p>
      <w:pPr>
        <w:pStyle w:val="ListBullet"/>
        <w:spacing w:after="40"/>
      </w:pPr>
      <w:r>
        <w:t>Intent detection</w:t>
      </w:r>
    </w:p>
    <w:p>
      <w:pPr>
        <w:pStyle w:val="ListBullet"/>
        <w:spacing w:after="40"/>
      </w:pPr>
      <w:r>
        <w:t>Content affinity</w:t>
      </w:r>
    </w:p>
    <w:p>
      <w:pPr>
        <w:pStyle w:val="ListBullet"/>
        <w:spacing w:after="40"/>
      </w:pPr>
      <w:r>
        <w:t>Semantic search</w:t>
      </w:r>
    </w:p>
    <w:p>
      <w:pPr>
        <w:pStyle w:val="ListBullet"/>
        <w:spacing w:after="40"/>
      </w:pPr>
      <w:r>
        <w:t>Interest matching</w:t>
      </w:r>
    </w:p>
    <w:p>
      <w:pPr>
        <w:ind w:left="144"/>
      </w:pPr>
      <w:r>
        <w:rPr>
          <w:i/>
          <w:color w:val="5B6472"/>
          <w:sz w:val="18"/>
        </w:rPr>
        <w:t>Typical outputs: embedding vector, semantic topics, similarity score, affinity metadata.</w:t>
      </w:r>
    </w:p>
    <w:p>
      <w:pPr>
        <w:pStyle w:val="Heading2"/>
        <w:keepNext/>
        <w:spacing w:before="140" w:after="40"/>
      </w:pPr>
      <w:r>
        <w:t>9. Graph Intelligence</w:t>
      </w:r>
      <w:r>
        <w:rPr>
          <w:b w:val="0"/>
          <w:color w:val="5B6472"/>
          <w:sz w:val="18"/>
        </w:rPr>
        <w:t xml:space="preserve">  (graph_ml)</w:t>
      </w:r>
    </w:p>
    <w:p>
      <w:pPr>
        <w:spacing w:after="40"/>
        <w:ind w:left="144"/>
      </w:pPr>
      <w:r>
        <w:t>Analyze entities and relationships in the Customer 360 graph to derive identity, connection, and influence signals.</w:t>
      </w:r>
    </w:p>
    <w:p>
      <w:pPr>
        <w:pStyle w:val="ListBullet"/>
        <w:spacing w:after="40"/>
      </w:pPr>
      <w:r>
        <w:t>Identity intelligence</w:t>
      </w:r>
    </w:p>
    <w:p>
      <w:pPr>
        <w:pStyle w:val="ListBullet"/>
        <w:spacing w:after="40"/>
      </w:pPr>
      <w:r>
        <w:t>Household or business relationships</w:t>
      </w:r>
    </w:p>
    <w:p>
      <w:pPr>
        <w:pStyle w:val="ListBullet"/>
        <w:spacing w:after="40"/>
      </w:pPr>
      <w:r>
        <w:t>Influence analysis</w:t>
      </w:r>
    </w:p>
    <w:p>
      <w:pPr>
        <w:pStyle w:val="ListBullet"/>
        <w:spacing w:after="40"/>
      </w:pPr>
      <w:r>
        <w:t>Relationship discovery</w:t>
      </w:r>
    </w:p>
    <w:p>
      <w:pPr>
        <w:ind w:left="144"/>
      </w:pPr>
      <w:r>
        <w:rPr>
          <w:i/>
          <w:color w:val="5B6472"/>
          <w:sz w:val="18"/>
        </w:rPr>
        <w:t>Typical outputs: graph embeddings, relationship signals, confidence, connected entities.</w:t>
      </w:r>
    </w:p>
    <w:p>
      <w:pPr>
        <w:pStyle w:val="Heading2"/>
        <w:keepNext/>
        <w:spacing w:before="140" w:after="40"/>
      </w:pPr>
      <w:r>
        <w:t>10. Optimization / Decisioning</w:t>
      </w:r>
      <w:r>
        <w:rPr>
          <w:b w:val="0"/>
          <w:color w:val="5B6472"/>
          <w:sz w:val="18"/>
        </w:rPr>
        <w:t xml:space="preserve">  (optimization)</w:t>
      </w:r>
    </w:p>
    <w:p>
      <w:pPr>
        <w:spacing w:after="40"/>
        <w:ind w:left="144"/>
      </w:pPr>
      <w:r>
        <w:t>Select the best action while balancing customer context, predicted outcomes, constraints, eligibility, and operational limits.</w:t>
      </w:r>
    </w:p>
    <w:p>
      <w:pPr>
        <w:pStyle w:val="ListBullet"/>
        <w:spacing w:after="40"/>
      </w:pPr>
      <w:r>
        <w:t>Next Best Action</w:t>
      </w:r>
    </w:p>
    <w:p>
      <w:pPr>
        <w:pStyle w:val="ListBullet"/>
        <w:spacing w:after="40"/>
      </w:pPr>
      <w:r>
        <w:t>Contact strategy</w:t>
      </w:r>
    </w:p>
    <w:p>
      <w:pPr>
        <w:pStyle w:val="ListBullet"/>
        <w:spacing w:after="40"/>
      </w:pPr>
      <w:r>
        <w:t>Offer allocation</w:t>
      </w:r>
    </w:p>
    <w:p>
      <w:pPr>
        <w:pStyle w:val="ListBullet"/>
        <w:spacing w:after="40"/>
      </w:pPr>
      <w:r>
        <w:t>Campaign budget allocation</w:t>
      </w:r>
    </w:p>
    <w:p>
      <w:pPr>
        <w:pStyle w:val="ListBullet"/>
        <w:spacing w:after="40"/>
      </w:pPr>
      <w:r>
        <w:t>Channel optimization</w:t>
      </w:r>
    </w:p>
    <w:p>
      <w:pPr>
        <w:ind w:left="144"/>
      </w:pPr>
      <w:r>
        <w:rPr>
          <w:i/>
          <w:color w:val="5B6472"/>
          <w:sz w:val="18"/>
        </w:rPr>
        <w:t>Typical outputs: selected action, decision score, constraints applied, rationale.</w:t>
      </w:r>
    </w:p>
    <w:p>
      <w:pPr>
        <w:pStyle w:val="Heading2"/>
        <w:keepNext/>
        <w:spacing w:before="140" w:after="40"/>
      </w:pPr>
      <w:r>
        <w:t>11. Rules Engine</w:t>
      </w:r>
      <w:r>
        <w:rPr>
          <w:b w:val="0"/>
          <w:color w:val="5B6472"/>
          <w:sz w:val="18"/>
        </w:rPr>
        <w:t xml:space="preserve">  (rules_engine)</w:t>
      </w:r>
    </w:p>
    <w:p>
      <w:pPr>
        <w:spacing w:after="40"/>
        <w:ind w:left="144"/>
      </w:pPr>
      <w:r>
        <w:t>Execute deterministic business logic and policies where behavior must be explainable and repeatable.</w:t>
      </w:r>
    </w:p>
    <w:p>
      <w:pPr>
        <w:pStyle w:val="ListBullet"/>
        <w:spacing w:after="40"/>
      </w:pPr>
      <w:r>
        <w:t>Eligibility rules</w:t>
      </w:r>
    </w:p>
    <w:p>
      <w:pPr>
        <w:pStyle w:val="ListBullet"/>
        <w:spacing w:after="40"/>
      </w:pPr>
      <w:r>
        <w:t>Suppression rules</w:t>
      </w:r>
    </w:p>
    <w:p>
      <w:pPr>
        <w:pStyle w:val="ListBullet"/>
        <w:spacing w:after="40"/>
      </w:pPr>
      <w:r>
        <w:t>Compliance policies</w:t>
      </w:r>
    </w:p>
    <w:p>
      <w:pPr>
        <w:pStyle w:val="ListBullet"/>
        <w:spacing w:after="40"/>
      </w:pPr>
      <w:r>
        <w:t>Business policy enforcement</w:t>
      </w:r>
    </w:p>
    <w:p>
      <w:pPr>
        <w:ind w:left="144"/>
      </w:pPr>
      <w:r>
        <w:rPr>
          <w:i/>
          <w:color w:val="5B6472"/>
          <w:sz w:val="18"/>
        </w:rPr>
        <w:t>Typical outputs: allow/deny/review, matched rules, blocked reasons, decision trace.</w:t>
      </w:r>
    </w:p>
    <w:p>
      <w:pPr>
        <w:pStyle w:val="Heading2"/>
        <w:keepNext/>
        <w:spacing w:before="140" w:after="40"/>
      </w:pPr>
      <w:r>
        <w:t>12. Generative LLM</w:t>
      </w:r>
      <w:r>
        <w:rPr>
          <w:b w:val="0"/>
          <w:color w:val="5B6472"/>
          <w:sz w:val="18"/>
        </w:rPr>
        <w:t xml:space="preserve">  (generative_llm)</w:t>
      </w:r>
    </w:p>
    <w:p>
      <w:pPr>
        <w:spacing w:after="40"/>
        <w:ind w:left="144"/>
      </w:pPr>
      <w:r>
        <w:t>Perform language-based reasoning, generation, explanation, summarization, and agent orchestration using supplied context and constraints.</w:t>
      </w:r>
    </w:p>
    <w:p>
      <w:pPr>
        <w:pStyle w:val="ListBullet"/>
        <w:spacing w:after="40"/>
      </w:pPr>
      <w:r>
        <w:t>Campaign planning</w:t>
      </w:r>
    </w:p>
    <w:p>
      <w:pPr>
        <w:pStyle w:val="ListBullet"/>
        <w:spacing w:after="40"/>
      </w:pPr>
      <w:r>
        <w:t>Notification planning</w:t>
      </w:r>
    </w:p>
    <w:p>
      <w:pPr>
        <w:pStyle w:val="ListBullet"/>
        <w:spacing w:after="40"/>
      </w:pPr>
      <w:r>
        <w:t>Customer insight generation</w:t>
      </w:r>
    </w:p>
    <w:p>
      <w:pPr>
        <w:pStyle w:val="ListBullet"/>
        <w:spacing w:after="40"/>
      </w:pPr>
      <w:r>
        <w:t>Segment explanation</w:t>
      </w:r>
    </w:p>
    <w:p>
      <w:pPr>
        <w:pStyle w:val="ListBullet"/>
        <w:spacing w:after="40"/>
      </w:pPr>
      <w:r>
        <w:t>Agent orchestration</w:t>
      </w:r>
    </w:p>
    <w:p>
      <w:pPr>
        <w:ind w:left="144"/>
      </w:pPr>
      <w:r>
        <w:rPr>
          <w:i/>
          <w:color w:val="5B6472"/>
          <w:sz w:val="18"/>
        </w:rPr>
        <w:t>Typical outputs: structured plans, generated text, explanations, JSON decisions, summaries.</w:t>
      </w:r>
    </w:p>
    <w:p>
      <w:r>
        <w:br w:type="page"/>
      </w:r>
    </w:p>
    <w:p>
      <w:pPr>
        <w:pStyle w:val="Heading1"/>
        <w:keepNext/>
      </w:pPr>
      <w:r>
        <w:t>3. Architecture &amp; Implementation Rules</w:t>
      </w:r>
    </w:p>
    <w:p>
      <w:pPr>
        <w:pStyle w:val="Heading2"/>
        <w:keepNext/>
      </w:pPr>
      <w:r>
        <w:t>3.1 Keep Agent Type and Business Capability Separate</w:t>
      </w:r>
    </w:p>
    <w:p>
      <w:r>
        <w:t>The Agent Type answers: “How does this agent compute?” The business capability answers: “What problem does it solve?” This separation prevents the type taxonomy from becoming a long list of business-specific agent names.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2880"/>
        <w:gridCol w:w="4032"/>
      </w:tblGrid>
      <w:tr>
        <w:trPr>
          <w:tblHeader w:val="true"/>
        </w:trPr>
        <w:tc>
          <w:tcPr>
            <w:tcW w:type="dxa" w:w="3408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Concrete Agent</w:t>
            </w:r>
          </w:p>
        </w:tc>
        <w:tc>
          <w:tcPr>
            <w:tcW w:type="dxa" w:w="3408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Agent Type</w:t>
            </w:r>
          </w:p>
        </w:tc>
        <w:tc>
          <w:tcPr>
            <w:tcW w:type="dxa" w:w="3408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Business Capability / Use Case</w:t>
            </w:r>
          </w:p>
        </w:tc>
      </w:tr>
      <w:tr>
        <w:tc>
          <w:tcPr>
            <w:tcW w:type="dxa" w:w="3888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7"/>
              </w:rPr>
              <w:t>Lead Scoring Agent</w:t>
            </w:r>
          </w:p>
        </w:tc>
        <w:tc>
          <w:tcPr>
            <w:tcW w:type="dxa" w:w="2880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classification</w:t>
            </w:r>
          </w:p>
        </w:tc>
        <w:tc>
          <w:tcPr>
            <w:tcW w:type="dxa" w:w="4032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propensity_scoring</w:t>
            </w:r>
          </w:p>
        </w:tc>
      </w:tr>
      <w:tr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7"/>
              </w:rPr>
              <w:t>CLV Prediction Agent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regression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customer_lifetime_value</w:t>
            </w:r>
          </w:p>
        </w:tc>
      </w:tr>
      <w:tr>
        <w:tc>
          <w:tcPr>
            <w:tcW w:type="dxa" w:w="3888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7"/>
              </w:rPr>
              <w:t>Journey Behavior Clustering Agent</w:t>
            </w:r>
          </w:p>
        </w:tc>
        <w:tc>
          <w:tcPr>
            <w:tcW w:type="dxa" w:w="2880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clustering</w:t>
            </w:r>
          </w:p>
        </w:tc>
        <w:tc>
          <w:tcPr>
            <w:tcW w:type="dxa" w:w="4032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behavioral_segmentation</w:t>
            </w:r>
          </w:p>
        </w:tc>
      </w:tr>
      <w:tr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7"/>
              </w:rPr>
              <w:t>Product Recommendation Agent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ranking_recommendation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product_recommendation</w:t>
            </w:r>
          </w:p>
        </w:tc>
      </w:tr>
      <w:tr>
        <w:tc>
          <w:tcPr>
            <w:tcW w:type="dxa" w:w="3888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7"/>
              </w:rPr>
              <w:t>Campaign Uplift Agent</w:t>
            </w:r>
          </w:p>
        </w:tc>
        <w:tc>
          <w:tcPr>
            <w:tcW w:type="dxa" w:w="2880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uplift_modeling</w:t>
            </w:r>
          </w:p>
        </w:tc>
        <w:tc>
          <w:tcPr>
            <w:tcW w:type="dxa" w:w="4032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campaign_incrementality</w:t>
            </w:r>
          </w:p>
        </w:tc>
      </w:tr>
      <w:tr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7"/>
              </w:rPr>
              <w:t>Next Best Action Agent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optimization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next_best_action</w:t>
            </w:r>
          </w:p>
        </w:tc>
      </w:tr>
      <w:tr>
        <w:tc>
          <w:tcPr>
            <w:tcW w:type="dxa" w:w="3888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7"/>
              </w:rPr>
              <w:t>Campaign Planning Agent</w:t>
            </w:r>
          </w:p>
        </w:tc>
        <w:tc>
          <w:tcPr>
            <w:tcW w:type="dxa" w:w="2880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generative_llm</w:t>
            </w:r>
          </w:p>
        </w:tc>
        <w:tc>
          <w:tcPr>
            <w:tcW w:type="dxa" w:w="4032"/>
            <w:shd w:fill="F7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7"/>
              </w:rPr>
              <w:t>campaign_planning</w:t>
            </w:r>
          </w:p>
        </w:tc>
      </w:tr>
    </w:tbl>
    <w:p>
      <w:pPr>
        <w:pStyle w:val="Heading2"/>
        <w:keepNext/>
      </w:pPr>
      <w:r>
        <w:t>3.2 Recommended Registry Semantics</w:t>
      </w:r>
    </w:p>
    <w:p>
      <w:pPr>
        <w:pStyle w:val="ListBullet"/>
        <w:spacing w:after="40"/>
      </w:pPr>
      <w:r>
        <w:t>agent_code: stable application/runtime identifier for the concrete agent.</w:t>
      </w:r>
    </w:p>
    <w:p>
      <w:pPr>
        <w:pStyle w:val="ListBullet"/>
        <w:spacing w:after="40"/>
      </w:pPr>
      <w:r>
        <w:t>model_type: one of the exact 12 execution types in this taxonomy.</w:t>
      </w:r>
    </w:p>
    <w:p>
      <w:pPr>
        <w:pStyle w:val="ListBullet"/>
        <w:spacing w:after="40"/>
      </w:pPr>
      <w:r>
        <w:t>model_name: actual model, policy engine, embedding model, or LLM runtime used by the agent.</w:t>
      </w:r>
    </w:p>
    <w:p>
      <w:pPr>
        <w:pStyle w:val="ListBullet"/>
        <w:spacing w:after="40"/>
      </w:pPr>
      <w:r>
        <w:t>input_features: customer, event, segment, product, channel, graph, or operational inputs consumed by the agent.</w:t>
      </w:r>
    </w:p>
    <w:p>
      <w:pPr>
        <w:pStyle w:val="ListBullet"/>
        <w:spacing w:after="40"/>
      </w:pPr>
      <w:r>
        <w:t>hyperparameters: algorithm/runtime configuration such as thresholds, top-K, forecast horizon, embedding dimension, or LLM parameters.</w:t>
      </w:r>
    </w:p>
    <w:p>
      <w:pPr>
        <w:pStyle w:val="ListBullet"/>
        <w:spacing w:after="40"/>
      </w:pPr>
      <w:r>
        <w:t>prompt_key / system_instructions / prompt_versions: prompt identity and lifecycle for prompt-backed agents.</w:t>
      </w:r>
    </w:p>
    <w:p>
      <w:pPr>
        <w:pStyle w:val="ListBullet"/>
        <w:spacing w:after="40"/>
      </w:pPr>
      <w:r>
        <w:t>cdp_profile_attributes.agent_code: link AI-derived Customer 360 attributes back to their producing agent.</w:t>
      </w:r>
    </w:p>
    <w:p>
      <w:pPr>
        <w:pStyle w:val="ListBullet"/>
        <w:spacing w:after="40"/>
      </w:pPr>
      <w:r>
        <w:t>cdp_agent_workflow: configure ordered agent execution for a tenant/segment workflow.</w:t>
      </w:r>
    </w:p>
    <w:p>
      <w:pPr>
        <w:pStyle w:val="Heading2"/>
        <w:keepNext/>
      </w:pPr>
      <w:r>
        <w:t>3.3 Canonical SQL Values</w:t>
      </w:r>
    </w:p>
    <w:p>
      <w:pPr>
        <w:ind w:left="288"/>
      </w:pPr>
      <w:r>
        <w:rPr>
          <w:rFonts w:ascii="Consolas" w:hAnsi="Consolas"/>
          <w:color w:val="172033"/>
          <w:sz w:val="18"/>
        </w:rPr>
        <w:t>classification</w:t>
        <w:br/>
      </w:r>
      <w:r>
        <w:rPr>
          <w:rFonts w:ascii="Consolas" w:hAnsi="Consolas"/>
          <w:color w:val="172033"/>
          <w:sz w:val="18"/>
        </w:rPr>
        <w:t>regression</w:t>
        <w:br/>
      </w:r>
      <w:r>
        <w:rPr>
          <w:rFonts w:ascii="Consolas" w:hAnsi="Consolas"/>
          <w:color w:val="172033"/>
          <w:sz w:val="18"/>
        </w:rPr>
        <w:t>clustering</w:t>
        <w:br/>
      </w:r>
      <w:r>
        <w:rPr>
          <w:rFonts w:ascii="Consolas" w:hAnsi="Consolas"/>
          <w:color w:val="172033"/>
          <w:sz w:val="18"/>
        </w:rPr>
        <w:t>ranking_recommendation</w:t>
        <w:br/>
      </w:r>
      <w:r>
        <w:rPr>
          <w:rFonts w:ascii="Consolas" w:hAnsi="Consolas"/>
          <w:color w:val="172033"/>
          <w:sz w:val="18"/>
        </w:rPr>
        <w:t>forecasting</w:t>
        <w:br/>
      </w:r>
      <w:r>
        <w:rPr>
          <w:rFonts w:ascii="Consolas" w:hAnsi="Consolas"/>
          <w:color w:val="172033"/>
          <w:sz w:val="18"/>
        </w:rPr>
        <w:t>anomaly_detection</w:t>
        <w:br/>
      </w:r>
      <w:r>
        <w:rPr>
          <w:rFonts w:ascii="Consolas" w:hAnsi="Consolas"/>
          <w:color w:val="172033"/>
          <w:sz w:val="18"/>
        </w:rPr>
        <w:t>uplift_modeling</w:t>
        <w:br/>
      </w:r>
      <w:r>
        <w:rPr>
          <w:rFonts w:ascii="Consolas" w:hAnsi="Consolas"/>
          <w:color w:val="172033"/>
          <w:sz w:val="18"/>
        </w:rPr>
        <w:t>semantic_embedding</w:t>
        <w:br/>
      </w:r>
      <w:r>
        <w:rPr>
          <w:rFonts w:ascii="Consolas" w:hAnsi="Consolas"/>
          <w:color w:val="172033"/>
          <w:sz w:val="18"/>
        </w:rPr>
        <w:t>graph_ml</w:t>
        <w:br/>
      </w:r>
      <w:r>
        <w:rPr>
          <w:rFonts w:ascii="Consolas" w:hAnsi="Consolas"/>
          <w:color w:val="172033"/>
          <w:sz w:val="18"/>
        </w:rPr>
        <w:t>optimization</w:t>
        <w:br/>
      </w:r>
      <w:r>
        <w:rPr>
          <w:rFonts w:ascii="Consolas" w:hAnsi="Consolas"/>
          <w:color w:val="172033"/>
          <w:sz w:val="18"/>
        </w:rPr>
        <w:t>rules_engine</w:t>
        <w:br/>
      </w:r>
      <w:r>
        <w:rPr>
          <w:rFonts w:ascii="Consolas" w:hAnsi="Consolas"/>
          <w:color w:val="172033"/>
          <w:sz w:val="18"/>
        </w:rPr>
        <w:t>generative_llm</w:t>
      </w:r>
    </w:p>
    <w:p>
      <w:pPr>
        <w:pStyle w:val="Heading2"/>
        <w:keepNext/>
      </w:pPr>
      <w:r>
        <w:t>3.4 Type Selection Principles</w:t>
      </w:r>
    </w:p>
    <w:p>
      <w:pPr>
        <w:pStyle w:val="ListBullet"/>
        <w:spacing w:after="40"/>
      </w:pPr>
      <w:r>
        <w:t>Use Classification when the output is a discrete state or class; use Regression when the output is continuous numeric value.</w:t>
      </w:r>
    </w:p>
    <w:p>
      <w:pPr>
        <w:pStyle w:val="ListBullet"/>
        <w:spacing w:after="40"/>
      </w:pPr>
      <w:r>
        <w:t>Use Clustering for discovery of natural groups rather than manually defined segment rules.</w:t>
      </w:r>
    </w:p>
    <w:p>
      <w:pPr>
        <w:pStyle w:val="ListBullet"/>
        <w:spacing w:after="40"/>
      </w:pPr>
      <w:r>
        <w:t>Use Ranking &amp; Recommendation when the primary task is ordering candidate items or actions by relevance.</w:t>
      </w:r>
    </w:p>
    <w:p>
      <w:pPr>
        <w:pStyle w:val="ListBullet"/>
        <w:spacing w:after="40"/>
      </w:pPr>
      <w:r>
        <w:t>Use Uplift Modeling when the question is incremental impact of an intervention, not simply response probability.</w:t>
      </w:r>
    </w:p>
    <w:p>
      <w:pPr>
        <w:pStyle w:val="ListBullet"/>
        <w:spacing w:after="40"/>
      </w:pPr>
      <w:r>
        <w:t>Use Optimization / Decisioning when the agent must choose an action subject to multiple constraints.</w:t>
      </w:r>
    </w:p>
    <w:p>
      <w:pPr>
        <w:pStyle w:val="ListBullet"/>
        <w:spacing w:after="40"/>
      </w:pPr>
      <w:r>
        <w:t>Use Rules Engine when deterministic, auditable policy logic is the correct tool.</w:t>
      </w:r>
    </w:p>
    <w:p>
      <w:pPr>
        <w:pStyle w:val="ListBullet"/>
        <w:spacing w:after="40"/>
      </w:pPr>
      <w:r>
        <w:t>Use Generative LLM for reasoning, generation, explanation, or orchestration—not as a catch-all replacement for deterministic or predictive methods.</w:t>
      </w:r>
    </w:p>
    <w:p>
      <w:pPr>
        <w:pStyle w:val="Heading2"/>
        <w:keepNext/>
      </w:pPr>
      <w:r>
        <w:t>3.5 Final Taxonomy</w:t>
      </w:r>
    </w:p>
    <w:p>
      <w:r>
        <w:rPr>
          <w:b/>
        </w:rPr>
        <w:t xml:space="preserve">Customer 360 Agent Type = </w:t>
      </w:r>
      <w:r>
        <w:t>execution method</w:t>
      </w:r>
      <w:r>
        <w:t xml:space="preserve">  →  </w:t>
      </w:r>
      <w:r>
        <w:rPr>
          <w:b/>
        </w:rPr>
        <w:t xml:space="preserve">Business Capability = </w:t>
      </w:r>
      <w:r>
        <w:t>business purpose</w:t>
      </w:r>
      <w:r>
        <w:t xml:space="preserve">  →  </w:t>
      </w:r>
      <w:r>
        <w:rPr>
          <w:b/>
        </w:rPr>
        <w:t xml:space="preserve">Agent = </w:t>
      </w:r>
      <w:r>
        <w:t>concrete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0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</w:r>
            <w:r>
              <w:rPr>
                <w:b/>
                <w:color w:val="172033"/>
                <w:sz w:val="19"/>
              </w:rPr>
              <w:t>Design decision: keep exactly 12 Agent Types. Do not add business-specific values such as lead_scoring, churn_prediction, propensity_scoring, next_best_action, campaign_planning, or notification_planning to model_type. Represent those as concrete agents and/or capabilities implemented by one of the 12 canonical execution types.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6"/>
      </w:rPr>
      <w:t>Customer 360 AI Agent Type Taxonomy  •  12 core execution types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472"/>
        <w:sz w:val="16"/>
      </w:rPr>
      <w:t>Customer 360  |  AI Agent Type Taxonomy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D4A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B647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360 AI Agent Type Taxonomy — 12 Core Types</dc:title>
  <dc:subject>Agentic Customer 360 platform AI agent taxonomy</dc:subject>
  <dc:creator>Customer 360 Platform</dc:creator>
  <cp:keywords>Customer 360, AI Agents, taxonomy, segmentation, Agentic AI, CDP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