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line="264" w:lineRule="auto"/>
      </w:pPr>
      <w:r>
        <w:rPr>
          <w:rFonts w:ascii="Calibri" w:hAnsi="Calibri" w:eastAsia="Microsoft JhengHei"/>
          <w:b/>
          <w:color w:val="5B6573"/>
          <w:sz w:val="21"/>
        </w:rPr>
        <w:t>專案設計說明</w:t>
      </w:r>
    </w:p>
    <w:p>
      <w:pPr>
        <w:spacing w:after="80" w:before="0" w:line="264" w:lineRule="auto"/>
      </w:pPr>
      <w:r>
        <w:rPr>
          <w:rFonts w:ascii="Calibri" w:hAnsi="Calibri" w:eastAsia="Microsoft JhengHei"/>
          <w:b/>
          <w:color w:val="0B2545"/>
          <w:sz w:val="52"/>
        </w:rPr>
        <w:t>臺北公共資料儀表板</w:t>
      </w:r>
    </w:p>
    <w:p>
      <w:pPr>
        <w:spacing w:after="320" w:before="0" w:line="264" w:lineRule="auto"/>
      </w:pPr>
      <w:r>
        <w:rPr>
          <w:rFonts w:ascii="Calibri" w:hAnsi="Calibri" w:eastAsia="Microsoft JhengHei"/>
          <w:color w:val="5B6573"/>
          <w:sz w:val="30"/>
        </w:rPr>
        <w:t>設計決策、使用情境與演進方向</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F2F4F7"/>
          </w:tcPr>
          <w:p>
            <w:r>
              <w:rPr>
                <w:rFonts w:ascii="Calibri" w:hAnsi="Calibri" w:eastAsia="Microsoft JhengHei"/>
                <w:b/>
                <w:color w:val="0B2545"/>
                <w:sz w:val="21"/>
              </w:rPr>
              <w:t>文件定位</w:t>
            </w:r>
          </w:p>
        </w:tc>
        <w:tc>
          <w:tcPr>
            <w:tcW w:type="dxa" w:w="6660"/>
            <w:vAlign w:val="center"/>
            <w:tcMar>
              <w:top w:w="80" w:type="dxa"/>
              <w:start w:w="120" w:type="dxa"/>
              <w:bottom w:w="80" w:type="dxa"/>
              <w:end w:w="120" w:type="dxa"/>
            </w:tcMar>
          </w:tcPr>
          <w:p>
            <w:r>
              <w:rPr>
                <w:rFonts w:ascii="Calibri" w:hAnsi="Calibri" w:eastAsia="Microsoft JhengHei"/>
                <w:b w:val="0"/>
                <w:sz w:val="21"/>
              </w:rPr>
              <w:t>以公開資料為基礎的查詢、比較與資料品質檢視說明</w:t>
            </w:r>
          </w:p>
        </w:tc>
      </w:tr>
      <w:tr>
        <w:tc>
          <w:tcPr>
            <w:tcW w:type="dxa" w:w="2700"/>
            <w:vAlign w:val="center"/>
            <w:tcMar>
              <w:top w:w="80" w:type="dxa"/>
              <w:start w:w="120" w:type="dxa"/>
              <w:bottom w:w="80" w:type="dxa"/>
              <w:end w:w="120" w:type="dxa"/>
            </w:tcMar>
            <w:shd w:fill="F2F4F7"/>
          </w:tcPr>
          <w:p>
            <w:r>
              <w:rPr>
                <w:rFonts w:ascii="Calibri" w:hAnsi="Calibri" w:eastAsia="Microsoft JhengHei"/>
                <w:b/>
                <w:color w:val="0B2545"/>
                <w:sz w:val="21"/>
              </w:rPr>
              <w:t>系統型態</w:t>
            </w:r>
          </w:p>
        </w:tc>
        <w:tc>
          <w:tcPr>
            <w:tcW w:type="dxa" w:w="6660"/>
            <w:vAlign w:val="center"/>
            <w:tcMar>
              <w:top w:w="80" w:type="dxa"/>
              <w:start w:w="120" w:type="dxa"/>
              <w:bottom w:w="80" w:type="dxa"/>
              <w:end w:w="120" w:type="dxa"/>
            </w:tcMar>
          </w:tcPr>
          <w:p>
            <w:r>
              <w:rPr>
                <w:rFonts w:ascii="Calibri" w:hAnsi="Calibri" w:eastAsia="Microsoft JhengHei"/>
                <w:b w:val="0"/>
                <w:sz w:val="21"/>
              </w:rPr>
              <w:t>Vite + React + TypeScript 靜態網站；資料於轉換後以 JSON 載入</w:t>
            </w:r>
          </w:p>
        </w:tc>
      </w:tr>
      <w:tr>
        <w:tc>
          <w:tcPr>
            <w:tcW w:type="dxa" w:w="2700"/>
            <w:vAlign w:val="center"/>
            <w:tcMar>
              <w:top w:w="80" w:type="dxa"/>
              <w:start w:w="120" w:type="dxa"/>
              <w:bottom w:w="80" w:type="dxa"/>
              <w:end w:w="120" w:type="dxa"/>
            </w:tcMar>
            <w:shd w:fill="F2F4F7"/>
          </w:tcPr>
          <w:p>
            <w:r>
              <w:rPr>
                <w:rFonts w:ascii="Calibri" w:hAnsi="Calibri" w:eastAsia="Microsoft JhengHei"/>
                <w:b/>
                <w:color w:val="0B2545"/>
                <w:sz w:val="21"/>
              </w:rPr>
              <w:t>更新日期</w:t>
            </w:r>
          </w:p>
        </w:tc>
        <w:tc>
          <w:tcPr>
            <w:tcW w:type="dxa" w:w="6660"/>
            <w:vAlign w:val="center"/>
            <w:tcMar>
              <w:top w:w="80" w:type="dxa"/>
              <w:start w:w="120" w:type="dxa"/>
              <w:bottom w:w="80" w:type="dxa"/>
              <w:end w:w="120" w:type="dxa"/>
            </w:tcMar>
          </w:tcPr>
          <w:p>
            <w:r>
              <w:rPr>
                <w:rFonts w:ascii="Calibri" w:hAnsi="Calibri" w:eastAsia="Microsoft JhengHei"/>
                <w:b w:val="0"/>
                <w:sz w:val="21"/>
              </w:rPr>
              <w:t>2026 年 7 月</w:t>
            </w:r>
          </w:p>
        </w:tc>
      </w:tr>
    </w:tbl>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60"/>
            </w:pPr>
            <w:r>
              <w:rPr>
                <w:rFonts w:ascii="Calibri" w:hAnsi="Calibri" w:eastAsia="Microsoft JhengHei"/>
                <w:b/>
                <w:color w:val="0B2545"/>
                <w:sz w:val="22"/>
              </w:rPr>
              <w:t>核心結論</w:t>
            </w:r>
          </w:p>
          <w:p>
            <w:pPr>
              <w:spacing w:after="20" w:line="269" w:lineRule="auto"/>
            </w:pPr>
            <w:r>
              <w:rPr>
                <w:rFonts w:ascii="Calibri" w:hAnsi="Calibri" w:eastAsia="Microsoft JhengHei"/>
                <w:sz w:val="21"/>
              </w:rPr>
              <w:t>此儀表板的價值不在替使用者作出醫療、資格、營運或品質判斷，而在於把分散的政府公開名單轉成可搜尋、可比較、可追溯的資料入口，讓後續確認工作有更清楚的起點。</w:t>
            </w:r>
          </w:p>
        </w:tc>
      </w:tr>
    </w:tbl>
    <w:p>
      <w:pPr>
        <w:spacing w:after="20"/>
      </w:pPr>
    </w:p>
    <w:p>
      <w:pPr>
        <w:pStyle w:val="Heading1"/>
        <w:spacing w:before="320" w:after="160" w:line="252" w:lineRule="auto"/>
        <w:keepNext/>
      </w:pPr>
      <w:r>
        <w:rPr>
          <w:rFonts w:ascii="Calibri" w:hAnsi="Calibri" w:eastAsia="Microsoft JhengHei"/>
          <w:b/>
          <w:color w:val="2E74B5"/>
          <w:sz w:val="32"/>
        </w:rPr>
        <w:t>一、它協助的是什麼決策？</w:t>
      </w:r>
    </w:p>
    <w:p>
      <w:pPr>
        <w:spacing w:after="120" w:before="0" w:line="264" w:lineRule="auto"/>
      </w:pPr>
      <w:r>
        <w:rPr>
          <w:rFonts w:ascii="Calibri" w:hAnsi="Calibri" w:eastAsia="Microsoft JhengHei"/>
        </w:rPr>
        <w:t>儀表板將不同主題的公開名單、服務據點與行政資料，以一致的摘要卡、分布圖、目錄、資料品質與來源說明呈現。它適合支援「初步盤點」與「下一步查證」的決策，而非直接代替現場確認或專業判斷。</w:t>
      </w:r>
    </w:p>
    <w:tbl>
      <w:tblPr>
        <w:tblStyle w:val="TableGrid"/>
        <w:tblW w:type="dxa" w:w="9360"/>
        <w:jc w:val="left"/>
        <w:tblLayout w:type="fixed"/>
        <w:tblLook w:firstColumn="1" w:firstRow="1" w:lastColumn="0" w:lastRow="0" w:noHBand="0" w:noVBand="1" w:val="04A0"/>
        <w:tblInd w:w="120" w:type="dxa"/>
      </w:tblPr>
      <w:tblGrid>
        <w:gridCol w:w="2100"/>
        <w:gridCol w:w="3800"/>
        <w:gridCol w:w="3460"/>
      </w:tblGrid>
      <w:tr>
        <w:tc>
          <w:tcPr>
            <w:tcW w:type="dxa" w:w="2100"/>
            <w:vAlign w:val="center"/>
            <w:tcMar>
              <w:top w:w="80" w:type="dxa"/>
              <w:start w:w="120" w:type="dxa"/>
              <w:bottom w:w="80" w:type="dxa"/>
              <w:end w:w="120" w:type="dxa"/>
            </w:tcMar>
            <w:shd w:fill="F2F4F7"/>
          </w:tcPr>
          <w:p>
            <w:pPr>
              <w:jc w:val="center"/>
            </w:pPr>
            <w:r>
              <w:rPr>
                <w:rFonts w:ascii="Calibri" w:hAnsi="Calibri" w:eastAsia="Microsoft JhengHei"/>
                <w:b/>
                <w:color w:val="0B2545"/>
                <w:sz w:val="20"/>
              </w:rPr>
              <w:t>使用者／情境</w:t>
            </w:r>
          </w:p>
        </w:tc>
        <w:tc>
          <w:tcPr>
            <w:tcW w:type="dxa" w:w="3800"/>
            <w:vAlign w:val="center"/>
            <w:tcMar>
              <w:top w:w="80" w:type="dxa"/>
              <w:start w:w="120" w:type="dxa"/>
              <w:bottom w:w="80" w:type="dxa"/>
              <w:end w:w="120" w:type="dxa"/>
            </w:tcMar>
            <w:shd w:fill="F2F4F7"/>
          </w:tcPr>
          <w:p>
            <w:pPr>
              <w:jc w:val="center"/>
            </w:pPr>
            <w:r>
              <w:rPr>
                <w:rFonts w:ascii="Calibri" w:hAnsi="Calibri" w:eastAsia="Microsoft JhengHei"/>
                <w:b/>
                <w:color w:val="0B2545"/>
                <w:sz w:val="20"/>
              </w:rPr>
              <w:t>可獲得的判斷支援</w:t>
            </w:r>
          </w:p>
        </w:tc>
        <w:tc>
          <w:tcPr>
            <w:tcW w:type="dxa" w:w="3460"/>
            <w:vAlign w:val="center"/>
            <w:tcMar>
              <w:top w:w="80" w:type="dxa"/>
              <w:start w:w="120" w:type="dxa"/>
              <w:bottom w:w="80" w:type="dxa"/>
              <w:end w:w="120" w:type="dxa"/>
            </w:tcMar>
            <w:shd w:fill="F2F4F7"/>
          </w:tcPr>
          <w:p>
            <w:pPr>
              <w:jc w:val="center"/>
            </w:pPr>
            <w:r>
              <w:rPr>
                <w:rFonts w:ascii="Calibri" w:hAnsi="Calibri" w:eastAsia="Microsoft JhengHei"/>
                <w:b/>
                <w:color w:val="0B2545"/>
                <w:sz w:val="20"/>
              </w:rPr>
              <w:t>應保留的確認步驟</w:t>
            </w:r>
          </w:p>
        </w:tc>
      </w:tr>
      <w:tr>
        <w:tc>
          <w:tcPr>
            <w:tcW w:type="dxa" w:w="2100"/>
          </w:tcPr>
          <w:p>
            <w:pPr>
              <w:spacing w:after="0" w:line="259" w:lineRule="auto"/>
            </w:pPr>
            <w:r>
              <w:rPr>
                <w:rFonts w:ascii="Calibri" w:hAnsi="Calibri" w:eastAsia="Microsoft JhengHei"/>
                <w:b/>
                <w:color w:val="0B2545"/>
                <w:sz w:val="19"/>
              </w:rPr>
              <w:t>一般市民</w:t>
            </w:r>
          </w:p>
        </w:tc>
        <w:tc>
          <w:tcPr>
            <w:tcW w:type="dxa" w:w="3800"/>
          </w:tcPr>
          <w:p>
            <w:pPr>
              <w:spacing w:after="0" w:line="259" w:lineRule="auto"/>
            </w:pPr>
            <w:r>
              <w:rPr>
                <w:rFonts w:ascii="Calibri" w:hAnsi="Calibri" w:eastAsia="Microsoft JhengHei"/>
                <w:b w:val="0"/>
                <w:sz w:val="19"/>
              </w:rPr>
              <w:t>依行政區、聯絡資訊與官方欄位縮小查找範圍，快速建立可聯絡的候選清單。</w:t>
            </w:r>
          </w:p>
        </w:tc>
        <w:tc>
          <w:tcPr>
            <w:tcW w:type="dxa" w:w="3460"/>
          </w:tcPr>
          <w:p>
            <w:pPr>
              <w:spacing w:after="0" w:line="259" w:lineRule="auto"/>
            </w:pPr>
            <w:r>
              <w:rPr>
                <w:rFonts w:ascii="Calibri" w:hAnsi="Calibri" w:eastAsia="Microsoft JhengHei"/>
                <w:b w:val="0"/>
                <w:sz w:val="19"/>
              </w:rPr>
              <w:t>向機構或主管機關確認即時營業、資格、名額、費用與服務內容。</w:t>
            </w:r>
          </w:p>
        </w:tc>
      </w:tr>
      <w:tr>
        <w:tc>
          <w:tcPr>
            <w:tcW w:type="dxa" w:w="2100"/>
          </w:tcPr>
          <w:p>
            <w:pPr>
              <w:spacing w:after="0" w:line="259" w:lineRule="auto"/>
            </w:pPr>
            <w:r>
              <w:rPr>
                <w:rFonts w:ascii="Calibri" w:hAnsi="Calibri" w:eastAsia="Microsoft JhengHei"/>
                <w:b/>
                <w:color w:val="0B2545"/>
                <w:sz w:val="19"/>
              </w:rPr>
              <w:t>社區工作者與公共服務人員</w:t>
            </w:r>
          </w:p>
        </w:tc>
        <w:tc>
          <w:tcPr>
            <w:tcW w:type="dxa" w:w="3800"/>
          </w:tcPr>
          <w:p>
            <w:pPr>
              <w:spacing w:after="0" w:line="259" w:lineRule="auto"/>
            </w:pPr>
            <w:r>
              <w:rPr>
                <w:rFonts w:ascii="Calibri" w:hAnsi="Calibri" w:eastAsia="Microsoft JhengHei"/>
                <w:b w:val="0"/>
                <w:sz w:val="19"/>
              </w:rPr>
              <w:t>看見特定行政區的服務據點分布，用於外展、轉介前資訊整理與資源盤點。</w:t>
            </w:r>
          </w:p>
        </w:tc>
        <w:tc>
          <w:tcPr>
            <w:tcW w:type="dxa" w:w="3460"/>
          </w:tcPr>
          <w:p>
            <w:pPr>
              <w:spacing w:after="0" w:line="259" w:lineRule="auto"/>
            </w:pPr>
            <w:r>
              <w:rPr>
                <w:rFonts w:ascii="Calibri" w:hAnsi="Calibri" w:eastAsia="Microsoft JhengHei"/>
                <w:b w:val="0"/>
                <w:sz w:val="19"/>
              </w:rPr>
              <w:t>不得把名單當成轉介品質、可收案狀態或服務能力的保證。</w:t>
            </w:r>
          </w:p>
        </w:tc>
      </w:tr>
      <w:tr>
        <w:tc>
          <w:tcPr>
            <w:tcW w:type="dxa" w:w="2100"/>
          </w:tcPr>
          <w:p>
            <w:pPr>
              <w:spacing w:after="0" w:line="259" w:lineRule="auto"/>
            </w:pPr>
            <w:r>
              <w:rPr>
                <w:rFonts w:ascii="Calibri" w:hAnsi="Calibri" w:eastAsia="Microsoft JhengHei"/>
                <w:b/>
                <w:color w:val="0B2545"/>
                <w:sz w:val="19"/>
              </w:rPr>
              <w:t>研究、媒體與非營利組織</w:t>
            </w:r>
          </w:p>
        </w:tc>
        <w:tc>
          <w:tcPr>
            <w:tcW w:type="dxa" w:w="3800"/>
          </w:tcPr>
          <w:p>
            <w:pPr>
              <w:spacing w:after="0" w:line="259" w:lineRule="auto"/>
            </w:pPr>
            <w:r>
              <w:rPr>
                <w:rFonts w:ascii="Calibri" w:hAnsi="Calibri" w:eastAsia="Microsoft JhengHei"/>
                <w:b w:val="0"/>
                <w:sz w:val="19"/>
              </w:rPr>
              <w:t>以固定資料快照比較區域分布、欄位完整度與資料更新狀態。</w:t>
            </w:r>
          </w:p>
        </w:tc>
        <w:tc>
          <w:tcPr>
            <w:tcW w:type="dxa" w:w="3460"/>
          </w:tcPr>
          <w:p>
            <w:pPr>
              <w:spacing w:after="0" w:line="259" w:lineRule="auto"/>
            </w:pPr>
            <w:r>
              <w:rPr>
                <w:rFonts w:ascii="Calibri" w:hAnsi="Calibri" w:eastAsia="Microsoft JhengHei"/>
                <w:b w:val="0"/>
                <w:sz w:val="19"/>
              </w:rPr>
              <w:t>回到來源資料與更新日期，避免將橫斷面資料解讀為趨勢或因果。</w:t>
            </w:r>
          </w:p>
        </w:tc>
      </w:tr>
      <w:tr>
        <w:tc>
          <w:tcPr>
            <w:tcW w:type="dxa" w:w="2100"/>
          </w:tcPr>
          <w:p>
            <w:pPr>
              <w:spacing w:after="0" w:line="259" w:lineRule="auto"/>
            </w:pPr>
            <w:r>
              <w:rPr>
                <w:rFonts w:ascii="Calibri" w:hAnsi="Calibri" w:eastAsia="Microsoft JhengHei"/>
                <w:b/>
                <w:color w:val="0B2545"/>
                <w:sz w:val="19"/>
              </w:rPr>
              <w:t>資料維護者</w:t>
            </w:r>
          </w:p>
        </w:tc>
        <w:tc>
          <w:tcPr>
            <w:tcW w:type="dxa" w:w="3800"/>
          </w:tcPr>
          <w:p>
            <w:pPr>
              <w:spacing w:after="0" w:line="259" w:lineRule="auto"/>
            </w:pPr>
            <w:r>
              <w:rPr>
                <w:rFonts w:ascii="Calibri" w:hAnsi="Calibri" w:eastAsia="Microsoft JhengHei"/>
                <w:b w:val="0"/>
                <w:sz w:val="19"/>
              </w:rPr>
              <w:t>從缺值、重複、未知行政區與轉換報告找出應優先回查的資料問題。</w:t>
            </w:r>
          </w:p>
        </w:tc>
        <w:tc>
          <w:tcPr>
            <w:tcW w:type="dxa" w:w="3460"/>
          </w:tcPr>
          <w:p>
            <w:pPr>
              <w:spacing w:after="0" w:line="259" w:lineRule="auto"/>
            </w:pPr>
            <w:r>
              <w:rPr>
                <w:rFonts w:ascii="Calibri" w:hAnsi="Calibri" w:eastAsia="Microsoft JhengHei"/>
                <w:b w:val="0"/>
                <w:sz w:val="19"/>
              </w:rPr>
              <w:t>在重新發布前，回看原始檔與官方說明，確認欄位語意沒有改變。</w:t>
            </w:r>
          </w:p>
        </w:tc>
      </w:tr>
    </w:tbl>
    <w:p>
      <w:pPr>
        <w:spacing w:after="40"/>
      </w:pPr>
    </w:p>
    <w:p>
      <w:pPr>
        <w:pStyle w:val="Heading1"/>
        <w:spacing w:before="320" w:after="160" w:line="252" w:lineRule="auto"/>
        <w:keepNext/>
      </w:pPr>
      <w:r>
        <w:rPr>
          <w:rFonts w:ascii="Calibri" w:hAnsi="Calibri" w:eastAsia="Microsoft JhengHei"/>
          <w:b/>
          <w:color w:val="2E74B5"/>
          <w:sz w:val="32"/>
        </w:rPr>
        <w:t>二、適合與不適合的使用場景</w:t>
      </w:r>
    </w:p>
    <w:p>
      <w:pPr>
        <w:pStyle w:val="Heading2"/>
        <w:spacing w:before="240" w:after="120" w:line="252" w:lineRule="auto"/>
        <w:keepNext/>
      </w:pPr>
      <w:r>
        <w:rPr>
          <w:rFonts w:ascii="Calibri" w:hAnsi="Calibri" w:eastAsia="Microsoft JhengHei"/>
          <w:b/>
          <w:color w:val="2E74B5"/>
          <w:sz w:val="26"/>
        </w:rPr>
        <w:t>適合</w:t>
      </w:r>
    </w:p>
    <w:p>
      <w:pPr>
        <w:pStyle w:val="ListBullet"/>
        <w:spacing w:after="100" w:line="280" w:lineRule="auto"/>
      </w:pPr>
      <w:r>
        <w:rPr>
          <w:rFonts w:ascii="Calibri" w:hAnsi="Calibri" w:eastAsia="Microsoft JhengHei"/>
          <w:sz w:val="21"/>
        </w:rPr>
        <w:t>服務據點或公共名單的跨區查找：先以區域與文字搜尋找到可能的機構，再用電話、來源頁或外部地圖查詢完成確認。</w:t>
      </w:r>
    </w:p>
    <w:p>
      <w:pPr>
        <w:pStyle w:val="ListBullet"/>
        <w:spacing w:after="100" w:line="280" w:lineRule="auto"/>
      </w:pPr>
      <w:r>
        <w:rPr>
          <w:rFonts w:ascii="Calibri" w:hAnsi="Calibri" w:eastAsia="Microsoft JhengHei"/>
          <w:sz w:val="21"/>
        </w:rPr>
        <w:t>資料盤點與行政區比較：以摘要卡和分布圖查看不同區域的記錄數、電話完整度與資料覆蓋情況。</w:t>
      </w:r>
    </w:p>
    <w:p>
      <w:pPr>
        <w:pStyle w:val="ListBullet"/>
        <w:spacing w:after="100" w:line="280" w:lineRule="auto"/>
      </w:pPr>
      <w:r>
        <w:rPr>
          <w:rFonts w:ascii="Calibri" w:hAnsi="Calibri" w:eastAsia="Microsoft JhengHei"/>
          <w:sz w:val="21"/>
        </w:rPr>
        <w:t>公開資料品質檢核：在資料更新後，檢查重複列、缺少關鍵欄位、格式異常與未知行政區。</w:t>
      </w:r>
    </w:p>
    <w:p>
      <w:pPr>
        <w:pStyle w:val="ListBullet"/>
        <w:spacing w:after="100" w:line="280" w:lineRule="auto"/>
      </w:pPr>
      <w:r>
        <w:rPr>
          <w:rFonts w:ascii="Calibri" w:hAnsi="Calibri" w:eastAsia="Microsoft JhengHei"/>
          <w:sz w:val="21"/>
        </w:rPr>
        <w:t>靜態展示或離線閱讀：資料轉為可快取的 JSON，適合在低維運成本的靜態網站或 PWA 環境提供查詢。</w:t>
      </w:r>
    </w:p>
    <w:p>
      <w:pPr>
        <w:pStyle w:val="Heading2"/>
        <w:spacing w:before="240" w:after="120" w:line="252" w:lineRule="auto"/>
        <w:keepNext/>
      </w:pPr>
      <w:r>
        <w:rPr>
          <w:rFonts w:ascii="Calibri" w:hAnsi="Calibri" w:eastAsia="Microsoft JhengHei"/>
          <w:b/>
          <w:color w:val="2E74B5"/>
          <w:sz w:val="26"/>
        </w:rPr>
        <w:t>不適合</w:t>
      </w:r>
    </w:p>
    <w:p>
      <w:pPr>
        <w:pStyle w:val="ListBullet"/>
        <w:spacing w:after="100" w:line="280" w:lineRule="auto"/>
      </w:pPr>
      <w:r>
        <w:rPr>
          <w:rFonts w:ascii="Calibri" w:hAnsi="Calibri" w:eastAsia="Microsoft JhengHei"/>
          <w:sz w:val="21"/>
        </w:rPr>
        <w:t>緊急醫療、即時預約、床位、疫苗、供餐或營業狀態查詢。</w:t>
      </w:r>
    </w:p>
    <w:p>
      <w:pPr>
        <w:pStyle w:val="ListBullet"/>
        <w:spacing w:after="100" w:line="280" w:lineRule="auto"/>
      </w:pPr>
      <w:r>
        <w:rPr>
          <w:rFonts w:ascii="Calibri" w:hAnsi="Calibri" w:eastAsia="Microsoft JhengHei"/>
          <w:sz w:val="21"/>
        </w:rPr>
        <w:t>判定服務資格、收案資格、招生名額、品質、安全、醫療能力或機構推薦。</w:t>
      </w:r>
    </w:p>
    <w:p>
      <w:pPr>
        <w:pStyle w:val="ListBullet"/>
        <w:spacing w:after="100" w:line="280" w:lineRule="auto"/>
      </w:pPr>
      <w:r>
        <w:rPr>
          <w:rFonts w:ascii="Calibri" w:hAnsi="Calibri" w:eastAsia="Microsoft JhengHei"/>
          <w:sz w:val="21"/>
        </w:rPr>
        <w:t>以地址推定機構精確位置，或以名單存在與否推論機構目前仍在營運。</w:t>
      </w:r>
    </w:p>
    <w:p>
      <w:pPr>
        <w:pStyle w:val="ListBullet"/>
        <w:spacing w:after="100" w:line="280" w:lineRule="auto"/>
      </w:pPr>
      <w:r>
        <w:rPr>
          <w:rFonts w:ascii="Calibri" w:hAnsi="Calibri" w:eastAsia="Microsoft JhengHei"/>
          <w:sz w:val="21"/>
        </w:rPr>
        <w:t>將單一公開名單延伸為企業排名、能源績效、碳排、投資或法規遵循判斷。</w:t>
      </w:r>
    </w:p>
    <w:p>
      <w:pPr>
        <w:pStyle w:val="Heading1"/>
        <w:spacing w:before="320" w:after="160" w:line="252" w:lineRule="auto"/>
        <w:keepNext/>
      </w:pPr>
      <w:r>
        <w:rPr>
          <w:rFonts w:ascii="Calibri" w:hAnsi="Calibri" w:eastAsia="Microsoft JhengHei"/>
          <w:b/>
          <w:color w:val="2E74B5"/>
          <w:sz w:val="32"/>
        </w:rPr>
        <w:t>三、資料到畫面的設計路徑</w:t>
      </w:r>
    </w:p>
    <w:p>
      <w:pPr>
        <w:spacing w:after="120" w:before="0" w:line="264" w:lineRule="auto"/>
      </w:pPr>
      <w:r>
        <w:rPr>
          <w:rFonts w:ascii="Calibri" w:hAnsi="Calibri" w:eastAsia="Microsoft JhengHei"/>
        </w:rPr>
        <w:t>系統採取「先轉換、後展示」的資料路徑。公開來源不在使用者開啟頁面時直接解析，而是先經由專案腳本下載或讀取人工放置的原始 CSV，轉換成紀錄檔、摘要檔與轉換報告，再交由 React 模組呈現。</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60"/>
            </w:pPr>
            <w:r>
              <w:rPr>
                <w:rFonts w:ascii="Calibri" w:hAnsi="Calibri" w:eastAsia="Microsoft JhengHei"/>
                <w:b/>
                <w:color w:val="0B2545"/>
                <w:sz w:val="22"/>
              </w:rPr>
              <w:t>資料流</w:t>
            </w:r>
          </w:p>
          <w:p>
            <w:pPr>
              <w:spacing w:after="20" w:line="269" w:lineRule="auto"/>
            </w:pPr>
            <w:r>
              <w:rPr>
                <w:rFonts w:ascii="Calibri" w:hAnsi="Calibri" w:eastAsia="Microsoft JhengHei"/>
                <w:sz w:val="21"/>
              </w:rPr>
              <w:t>臺北市公開資料來源 → 原始 CSV／下載檔 → 編碼偵測與欄位轉換 → records.json、summary.json、conversion-report.json → 儀表板的卡片、圖表、篩選目錄與資料註記 → PWA 快取。</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900"/>
        <w:gridCol w:w="3720"/>
        <w:gridCol w:w="3740"/>
      </w:tblGrid>
      <w:tr>
        <w:tc>
          <w:tcPr>
            <w:tcW w:type="dxa" w:w="1900"/>
            <w:vAlign w:val="center"/>
            <w:tcMar>
              <w:top w:w="80" w:type="dxa"/>
              <w:start w:w="120" w:type="dxa"/>
              <w:bottom w:w="80" w:type="dxa"/>
              <w:end w:w="120" w:type="dxa"/>
            </w:tcMar>
            <w:shd w:fill="F2F4F7"/>
          </w:tcPr>
          <w:p>
            <w:pPr>
              <w:jc w:val="center"/>
            </w:pPr>
            <w:r>
              <w:rPr>
                <w:rFonts w:ascii="Calibri" w:hAnsi="Calibri" w:eastAsia="Microsoft JhengHei"/>
                <w:b/>
                <w:color w:val="0B2545"/>
                <w:sz w:val="20"/>
              </w:rPr>
              <w:t>設計選擇</w:t>
            </w:r>
          </w:p>
        </w:tc>
        <w:tc>
          <w:tcPr>
            <w:tcW w:type="dxa" w:w="3720"/>
            <w:vAlign w:val="center"/>
            <w:tcMar>
              <w:top w:w="80" w:type="dxa"/>
              <w:start w:w="120" w:type="dxa"/>
              <w:bottom w:w="80" w:type="dxa"/>
              <w:end w:w="120" w:type="dxa"/>
            </w:tcMar>
            <w:shd w:fill="F2F4F7"/>
          </w:tcPr>
          <w:p>
            <w:pPr>
              <w:jc w:val="center"/>
            </w:pPr>
            <w:r>
              <w:rPr>
                <w:rFonts w:ascii="Calibri" w:hAnsi="Calibri" w:eastAsia="Microsoft JhengHei"/>
                <w:b/>
                <w:color w:val="0B2545"/>
                <w:sz w:val="20"/>
              </w:rPr>
              <w:t>採用原因</w:t>
            </w:r>
          </w:p>
        </w:tc>
        <w:tc>
          <w:tcPr>
            <w:tcW w:type="dxa" w:w="3740"/>
            <w:vAlign w:val="center"/>
            <w:tcMar>
              <w:top w:w="80" w:type="dxa"/>
              <w:start w:w="120" w:type="dxa"/>
              <w:bottom w:w="80" w:type="dxa"/>
              <w:end w:w="120" w:type="dxa"/>
            </w:tcMar>
            <w:shd w:fill="F2F4F7"/>
          </w:tcPr>
          <w:p>
            <w:pPr>
              <w:jc w:val="center"/>
            </w:pPr>
            <w:r>
              <w:rPr>
                <w:rFonts w:ascii="Calibri" w:hAnsi="Calibri" w:eastAsia="Microsoft JhengHei"/>
                <w:b/>
                <w:color w:val="0B2545"/>
                <w:sz w:val="20"/>
              </w:rPr>
              <w:t>代價與控制方式</w:t>
            </w:r>
          </w:p>
        </w:tc>
      </w:tr>
      <w:tr>
        <w:tc>
          <w:tcPr>
            <w:tcW w:type="dxa" w:w="1900"/>
          </w:tcPr>
          <w:p>
            <w:pPr>
              <w:spacing w:after="0" w:line="259" w:lineRule="auto"/>
            </w:pPr>
            <w:r>
              <w:rPr>
                <w:rFonts w:ascii="Calibri" w:hAnsi="Calibri" w:eastAsia="Microsoft JhengHei"/>
                <w:b/>
                <w:color w:val="0B2545"/>
                <w:sz w:val="19"/>
              </w:rPr>
              <w:t>靜態 JSON 資料快照</w:t>
            </w:r>
          </w:p>
        </w:tc>
        <w:tc>
          <w:tcPr>
            <w:tcW w:type="dxa" w:w="3720"/>
          </w:tcPr>
          <w:p>
            <w:pPr>
              <w:spacing w:after="0" w:line="259" w:lineRule="auto"/>
            </w:pPr>
            <w:r>
              <w:rPr>
                <w:rFonts w:ascii="Calibri" w:hAnsi="Calibri" w:eastAsia="Microsoft JhengHei"/>
                <w:b w:val="0"/>
                <w:sz w:val="19"/>
              </w:rPr>
              <w:t>可部署於靜態主機；減少瀏覽時對上游來源的依賴；資料轉換可重現。</w:t>
            </w:r>
          </w:p>
        </w:tc>
        <w:tc>
          <w:tcPr>
            <w:tcW w:type="dxa" w:w="3740"/>
          </w:tcPr>
          <w:p>
            <w:pPr>
              <w:spacing w:after="0" w:line="259" w:lineRule="auto"/>
            </w:pPr>
            <w:r>
              <w:rPr>
                <w:rFonts w:ascii="Calibri" w:hAnsi="Calibri" w:eastAsia="Microsoft JhengHei"/>
                <w:b w:val="0"/>
                <w:sz w:val="19"/>
              </w:rPr>
              <w:t>非即時資料；以資料來源、更新日期與免責聲明提醒使用者回查。</w:t>
            </w:r>
          </w:p>
        </w:tc>
      </w:tr>
      <w:tr>
        <w:tc>
          <w:tcPr>
            <w:tcW w:type="dxa" w:w="1900"/>
          </w:tcPr>
          <w:p>
            <w:pPr>
              <w:spacing w:after="0" w:line="259" w:lineRule="auto"/>
            </w:pPr>
            <w:r>
              <w:rPr>
                <w:rFonts w:ascii="Calibri" w:hAnsi="Calibri" w:eastAsia="Microsoft JhengHei"/>
                <w:b/>
                <w:color w:val="0B2545"/>
                <w:sz w:val="19"/>
              </w:rPr>
              <w:t>保留原始值與衍生值</w:t>
            </w:r>
          </w:p>
        </w:tc>
        <w:tc>
          <w:tcPr>
            <w:tcW w:type="dxa" w:w="3720"/>
          </w:tcPr>
          <w:p>
            <w:pPr>
              <w:spacing w:after="0" w:line="259" w:lineRule="auto"/>
            </w:pPr>
            <w:r>
              <w:rPr>
                <w:rFonts w:ascii="Calibri" w:hAnsi="Calibri" w:eastAsia="Microsoft JhengHei"/>
                <w:b w:val="0"/>
                <w:sz w:val="19"/>
              </w:rPr>
              <w:t>原始欄位便於追溯；正規化欄位可支援一致搜尋、去重與分群。</w:t>
            </w:r>
          </w:p>
        </w:tc>
        <w:tc>
          <w:tcPr>
            <w:tcW w:type="dxa" w:w="3740"/>
          </w:tcPr>
          <w:p>
            <w:pPr>
              <w:spacing w:after="0" w:line="259" w:lineRule="auto"/>
            </w:pPr>
            <w:r>
              <w:rPr>
                <w:rFonts w:ascii="Calibri" w:hAnsi="Calibri" w:eastAsia="Microsoft JhengHei"/>
                <w:b w:val="0"/>
                <w:sz w:val="19"/>
              </w:rPr>
              <w:t>欄位較多；將衍生規則集中於轉換腳本並輸出品質報告。</w:t>
            </w:r>
          </w:p>
        </w:tc>
      </w:tr>
      <w:tr>
        <w:tc>
          <w:tcPr>
            <w:tcW w:type="dxa" w:w="1900"/>
          </w:tcPr>
          <w:p>
            <w:pPr>
              <w:spacing w:after="0" w:line="259" w:lineRule="auto"/>
            </w:pPr>
            <w:r>
              <w:rPr>
                <w:rFonts w:ascii="Calibri" w:hAnsi="Calibri" w:eastAsia="Microsoft JhengHei"/>
                <w:b/>
                <w:color w:val="0B2545"/>
                <w:sz w:val="19"/>
              </w:rPr>
              <w:t>摘要與目錄共用篩選結果</w:t>
            </w:r>
          </w:p>
        </w:tc>
        <w:tc>
          <w:tcPr>
            <w:tcW w:type="dxa" w:w="3720"/>
          </w:tcPr>
          <w:p>
            <w:pPr>
              <w:spacing w:after="0" w:line="259" w:lineRule="auto"/>
            </w:pPr>
            <w:r>
              <w:rPr>
                <w:rFonts w:ascii="Calibri" w:hAnsi="Calibri" w:eastAsia="Microsoft JhengHei"/>
                <w:b w:val="0"/>
                <w:sz w:val="19"/>
              </w:rPr>
              <w:t>卡片、圖表、表格與匯出都由同一份 filteredRecords 推導，可避免口徑不一致。</w:t>
            </w:r>
          </w:p>
        </w:tc>
        <w:tc>
          <w:tcPr>
            <w:tcW w:type="dxa" w:w="3740"/>
          </w:tcPr>
          <w:p>
            <w:pPr>
              <w:spacing w:after="0" w:line="259" w:lineRule="auto"/>
            </w:pPr>
            <w:r>
              <w:rPr>
                <w:rFonts w:ascii="Calibri" w:hAnsi="Calibri" w:eastAsia="Microsoft JhengHei"/>
                <w:b w:val="0"/>
                <w:sz w:val="19"/>
              </w:rPr>
              <w:t>前端需自行聚合；用 memoization、分頁與輕量圖表控制成本。</w:t>
            </w:r>
          </w:p>
        </w:tc>
      </w:tr>
      <w:tr>
        <w:tc>
          <w:tcPr>
            <w:tcW w:type="dxa" w:w="1900"/>
          </w:tcPr>
          <w:p>
            <w:pPr>
              <w:spacing w:after="0" w:line="259" w:lineRule="auto"/>
            </w:pPr>
            <w:r>
              <w:rPr>
                <w:rFonts w:ascii="Calibri" w:hAnsi="Calibri" w:eastAsia="Microsoft JhengHei"/>
                <w:b/>
                <w:color w:val="0B2545"/>
                <w:sz w:val="19"/>
              </w:rPr>
              <w:t>外部地圖查詢連結</w:t>
            </w:r>
          </w:p>
        </w:tc>
        <w:tc>
          <w:tcPr>
            <w:tcW w:type="dxa" w:w="3720"/>
          </w:tcPr>
          <w:p>
            <w:pPr>
              <w:spacing w:after="0" w:line="259" w:lineRule="auto"/>
            </w:pPr>
            <w:r>
              <w:rPr>
                <w:rFonts w:ascii="Calibri" w:hAnsi="Calibri" w:eastAsia="Microsoft JhengHei"/>
                <w:b w:val="0"/>
                <w:sz w:val="19"/>
              </w:rPr>
              <w:t>地址資料仍可協助使用者查找，同時避免未經確認的座標被呈現成精確標記。</w:t>
            </w:r>
          </w:p>
        </w:tc>
        <w:tc>
          <w:tcPr>
            <w:tcW w:type="dxa" w:w="3740"/>
          </w:tcPr>
          <w:p>
            <w:pPr>
              <w:spacing w:after="0" w:line="259" w:lineRule="auto"/>
            </w:pPr>
            <w:r>
              <w:rPr>
                <w:rFonts w:ascii="Calibri" w:hAnsi="Calibri" w:eastAsia="Microsoft JhengHei"/>
                <w:b w:val="0"/>
                <w:sz w:val="19"/>
              </w:rPr>
              <w:t>需跳轉外部服務；對有官方座標的資料才以驗證後的座標顯示。</w:t>
            </w:r>
          </w:p>
        </w:tc>
      </w:tr>
    </w:tbl>
    <w:p>
      <w:pPr>
        <w:spacing w:after="40"/>
      </w:pPr>
    </w:p>
    <w:p>
      <w:pPr>
        <w:pStyle w:val="Heading1"/>
        <w:spacing w:before="320" w:after="160" w:line="252" w:lineRule="auto"/>
        <w:keepNext/>
      </w:pPr>
      <w:r>
        <w:rPr>
          <w:rFonts w:ascii="Calibri" w:hAnsi="Calibri" w:eastAsia="Microsoft JhengHei"/>
          <w:b/>
          <w:color w:val="2E74B5"/>
          <w:sz w:val="32"/>
        </w:rPr>
        <w:t>四、資料轉換與品質控制</w:t>
      </w:r>
    </w:p>
    <w:p>
      <w:pPr>
        <w:pStyle w:val="Heading2"/>
        <w:spacing w:before="240" w:after="120" w:line="252" w:lineRule="auto"/>
        <w:keepNext/>
      </w:pPr>
      <w:r>
        <w:rPr>
          <w:rFonts w:ascii="Calibri" w:hAnsi="Calibri" w:eastAsia="Microsoft JhengHei"/>
          <w:b/>
          <w:color w:val="2E74B5"/>
          <w:sz w:val="26"/>
        </w:rPr>
        <w:t>欄位與編碼為何先保守處理？</w:t>
      </w:r>
    </w:p>
    <w:p>
      <w:pPr>
        <w:spacing w:after="120" w:before="0" w:line="264" w:lineRule="auto"/>
      </w:pPr>
      <w:r>
        <w:rPr>
          <w:rFonts w:ascii="Calibri" w:hAnsi="Calibri" w:eastAsia="Microsoft JhengHei"/>
        </w:rPr>
        <w:t>不同資料集的 CSV 編碼與欄位型別不一致。轉換流程支援 UTF-8-SIG、Big5 與 CP950，並先將電話、郵遞區號、行政區代碼與來源序號讀成字串，再做正規化。這可保留前導零、避免電話被轉為數值或科學記號，也能讓資料列在來源與畫面間保有可追溯性。</w:t>
      </w:r>
    </w:p>
    <w:p>
      <w:pPr>
        <w:pStyle w:val="Heading2"/>
        <w:spacing w:before="240" w:after="120" w:line="252" w:lineRule="auto"/>
        <w:keepNext/>
      </w:pPr>
      <w:r>
        <w:rPr>
          <w:rFonts w:ascii="Calibri" w:hAnsi="Calibri" w:eastAsia="Microsoft JhengHei"/>
          <w:b/>
          <w:color w:val="2E74B5"/>
          <w:sz w:val="26"/>
        </w:rPr>
        <w:t>為何不採取「越多修正越好」的清理方式？</w:t>
      </w:r>
    </w:p>
    <w:p>
      <w:pPr>
        <w:spacing w:after="120" w:before="0" w:line="264" w:lineRule="auto"/>
      </w:pPr>
      <w:r>
        <w:rPr>
          <w:rFonts w:ascii="Calibri" w:hAnsi="Calibri" w:eastAsia="Microsoft JhengHei"/>
        </w:rPr>
        <w:t>公開資料的拼字、地址與名稱差異不一定代表錯誤。去重策略以來源 ID 優先，或以名稱、地址、電話等正規化組合判斷「明確重複」；疑似相近但無法確定的資料保留，並讓轉換報告揭露。這避免把不同據點錯合併，也承認資料清理不是無成本的推論。</w:t>
      </w:r>
    </w:p>
    <w:tbl>
      <w:tblPr>
        <w:tblStyle w:val="TableGrid"/>
        <w:tblW w:type="dxa" w:w="9360"/>
        <w:jc w:val="left"/>
        <w:tblLayout w:type="fixed"/>
        <w:tblLook w:firstColumn="1" w:firstRow="1" w:lastColumn="0" w:lastRow="0" w:noHBand="0" w:noVBand="1" w:val="04A0"/>
        <w:tblInd w:w="120" w:type="dxa"/>
      </w:tblPr>
      <w:tblGrid>
        <w:gridCol w:w="1900"/>
        <w:gridCol w:w="3700"/>
        <w:gridCol w:w="3760"/>
      </w:tblGrid>
      <w:tr>
        <w:tc>
          <w:tcPr>
            <w:tcW w:type="dxa" w:w="1900"/>
            <w:vAlign w:val="center"/>
            <w:tcMar>
              <w:top w:w="80" w:type="dxa"/>
              <w:start w:w="120" w:type="dxa"/>
              <w:bottom w:w="80" w:type="dxa"/>
              <w:end w:w="120" w:type="dxa"/>
            </w:tcMar>
            <w:shd w:fill="F2F4F7"/>
          </w:tcPr>
          <w:p>
            <w:pPr>
              <w:jc w:val="center"/>
            </w:pPr>
            <w:r>
              <w:rPr>
                <w:rFonts w:ascii="Calibri" w:hAnsi="Calibri" w:eastAsia="Microsoft JhengHei"/>
                <w:b/>
                <w:color w:val="0B2545"/>
                <w:sz w:val="20"/>
              </w:rPr>
              <w:t>問題</w:t>
            </w:r>
          </w:p>
        </w:tc>
        <w:tc>
          <w:tcPr>
            <w:tcW w:type="dxa" w:w="3700"/>
            <w:vAlign w:val="center"/>
            <w:tcMar>
              <w:top w:w="80" w:type="dxa"/>
              <w:start w:w="120" w:type="dxa"/>
              <w:bottom w:w="80" w:type="dxa"/>
              <w:end w:w="120" w:type="dxa"/>
            </w:tcMar>
            <w:shd w:fill="F2F4F7"/>
          </w:tcPr>
          <w:p>
            <w:pPr>
              <w:jc w:val="center"/>
            </w:pPr>
            <w:r>
              <w:rPr>
                <w:rFonts w:ascii="Calibri" w:hAnsi="Calibri" w:eastAsia="Microsoft JhengHei"/>
                <w:b/>
                <w:color w:val="0B2545"/>
                <w:sz w:val="20"/>
              </w:rPr>
              <w:t>目前做法</w:t>
            </w:r>
          </w:p>
        </w:tc>
        <w:tc>
          <w:tcPr>
            <w:tcW w:type="dxa" w:w="3760"/>
            <w:vAlign w:val="center"/>
            <w:tcMar>
              <w:top w:w="80" w:type="dxa"/>
              <w:start w:w="120" w:type="dxa"/>
              <w:bottom w:w="80" w:type="dxa"/>
              <w:end w:w="120" w:type="dxa"/>
            </w:tcMar>
            <w:shd w:fill="F2F4F7"/>
          </w:tcPr>
          <w:p>
            <w:pPr>
              <w:jc w:val="center"/>
            </w:pPr>
            <w:r>
              <w:rPr>
                <w:rFonts w:ascii="Calibri" w:hAnsi="Calibri" w:eastAsia="Microsoft JhengHei"/>
                <w:b/>
                <w:color w:val="0B2545"/>
                <w:sz w:val="20"/>
              </w:rPr>
              <w:t>理由／可觀察訊號</w:t>
            </w:r>
          </w:p>
        </w:tc>
      </w:tr>
      <w:tr>
        <w:tc>
          <w:tcPr>
            <w:tcW w:type="dxa" w:w="1900"/>
          </w:tcPr>
          <w:p>
            <w:pPr>
              <w:spacing w:after="0" w:line="259" w:lineRule="auto"/>
            </w:pPr>
            <w:r>
              <w:rPr>
                <w:rFonts w:ascii="Calibri" w:hAnsi="Calibri" w:eastAsia="Microsoft JhengHei"/>
                <w:b/>
                <w:color w:val="0B2545"/>
                <w:sz w:val="19"/>
              </w:rPr>
              <w:t>多種 CSV 編碼</w:t>
            </w:r>
          </w:p>
        </w:tc>
        <w:tc>
          <w:tcPr>
            <w:tcW w:type="dxa" w:w="3700"/>
          </w:tcPr>
          <w:p>
            <w:pPr>
              <w:spacing w:after="0" w:line="259" w:lineRule="auto"/>
            </w:pPr>
            <w:r>
              <w:rPr>
                <w:rFonts w:ascii="Calibri" w:hAnsi="Calibri" w:eastAsia="Microsoft JhengHei"/>
                <w:b w:val="0"/>
                <w:sz w:val="19"/>
              </w:rPr>
              <w:t>依序嘗試 UTF-8-SIG、Big5、CP950。</w:t>
            </w:r>
          </w:p>
        </w:tc>
        <w:tc>
          <w:tcPr>
            <w:tcW w:type="dxa" w:w="3760"/>
          </w:tcPr>
          <w:p>
            <w:pPr>
              <w:spacing w:after="0" w:line="259" w:lineRule="auto"/>
            </w:pPr>
            <w:r>
              <w:rPr>
                <w:rFonts w:ascii="Calibri" w:hAnsi="Calibri" w:eastAsia="Microsoft JhengHei"/>
                <w:b w:val="0"/>
                <w:sz w:val="19"/>
              </w:rPr>
              <w:t>臺灣公開資料常混用編碼；轉換失敗會在流程中明確暴露。</w:t>
            </w:r>
          </w:p>
        </w:tc>
      </w:tr>
      <w:tr>
        <w:tc>
          <w:tcPr>
            <w:tcW w:type="dxa" w:w="1900"/>
          </w:tcPr>
          <w:p>
            <w:pPr>
              <w:spacing w:after="0" w:line="259" w:lineRule="auto"/>
            </w:pPr>
            <w:r>
              <w:rPr>
                <w:rFonts w:ascii="Calibri" w:hAnsi="Calibri" w:eastAsia="Microsoft JhengHei"/>
                <w:b/>
                <w:color w:val="0B2545"/>
                <w:sz w:val="19"/>
              </w:rPr>
              <w:t>前導零與電話格式</w:t>
            </w:r>
          </w:p>
        </w:tc>
        <w:tc>
          <w:tcPr>
            <w:tcW w:type="dxa" w:w="3700"/>
          </w:tcPr>
          <w:p>
            <w:pPr>
              <w:spacing w:after="0" w:line="259" w:lineRule="auto"/>
            </w:pPr>
            <w:r>
              <w:rPr>
                <w:rFonts w:ascii="Calibri" w:hAnsi="Calibri" w:eastAsia="Microsoft JhengHei"/>
                <w:b w:val="0"/>
                <w:sz w:val="19"/>
              </w:rPr>
              <w:t>全欄先讀字串，另產生正規化欄位。</w:t>
            </w:r>
          </w:p>
        </w:tc>
        <w:tc>
          <w:tcPr>
            <w:tcW w:type="dxa" w:w="3760"/>
          </w:tcPr>
          <w:p>
            <w:pPr>
              <w:spacing w:after="0" w:line="259" w:lineRule="auto"/>
            </w:pPr>
            <w:r>
              <w:rPr>
                <w:rFonts w:ascii="Calibri" w:hAnsi="Calibri" w:eastAsia="Microsoft JhengHei"/>
                <w:b w:val="0"/>
                <w:sz w:val="19"/>
              </w:rPr>
              <w:t>避免資料型別破壞；保留顯示用原值與搜尋用值。</w:t>
            </w:r>
          </w:p>
        </w:tc>
      </w:tr>
      <w:tr>
        <w:tc>
          <w:tcPr>
            <w:tcW w:type="dxa" w:w="1900"/>
          </w:tcPr>
          <w:p>
            <w:pPr>
              <w:spacing w:after="0" w:line="259" w:lineRule="auto"/>
            </w:pPr>
            <w:r>
              <w:rPr>
                <w:rFonts w:ascii="Calibri" w:hAnsi="Calibri" w:eastAsia="Microsoft JhengHei"/>
                <w:b/>
                <w:color w:val="0B2545"/>
                <w:sz w:val="19"/>
              </w:rPr>
              <w:t>行政區不一致</w:t>
            </w:r>
          </w:p>
        </w:tc>
        <w:tc>
          <w:tcPr>
            <w:tcW w:type="dxa" w:w="3700"/>
          </w:tcPr>
          <w:p>
            <w:pPr>
              <w:spacing w:after="0" w:line="259" w:lineRule="auto"/>
            </w:pPr>
            <w:r>
              <w:rPr>
                <w:rFonts w:ascii="Calibri" w:hAnsi="Calibri" w:eastAsia="Microsoft JhengHei"/>
                <w:b w:val="0"/>
                <w:sz w:val="19"/>
              </w:rPr>
              <w:t>先使用官方代碼，無代碼時才從地址保守辨識。</w:t>
            </w:r>
          </w:p>
        </w:tc>
        <w:tc>
          <w:tcPr>
            <w:tcW w:type="dxa" w:w="3760"/>
          </w:tcPr>
          <w:p>
            <w:pPr>
              <w:spacing w:after="0" w:line="259" w:lineRule="auto"/>
            </w:pPr>
            <w:r>
              <w:rPr>
                <w:rFonts w:ascii="Calibri" w:hAnsi="Calibri" w:eastAsia="Microsoft JhengHei"/>
                <w:b w:val="0"/>
                <w:sz w:val="19"/>
              </w:rPr>
              <w:t>代碼優先可減少文字解析誤判；未知值列入品質報告。</w:t>
            </w:r>
          </w:p>
        </w:tc>
      </w:tr>
      <w:tr>
        <w:tc>
          <w:tcPr>
            <w:tcW w:type="dxa" w:w="1900"/>
          </w:tcPr>
          <w:p>
            <w:pPr>
              <w:spacing w:after="0" w:line="259" w:lineRule="auto"/>
            </w:pPr>
            <w:r>
              <w:rPr>
                <w:rFonts w:ascii="Calibri" w:hAnsi="Calibri" w:eastAsia="Microsoft JhengHei"/>
                <w:b/>
                <w:color w:val="0B2545"/>
                <w:sz w:val="19"/>
              </w:rPr>
              <w:t>地址但沒有官方座標</w:t>
            </w:r>
          </w:p>
        </w:tc>
        <w:tc>
          <w:tcPr>
            <w:tcW w:type="dxa" w:w="3700"/>
          </w:tcPr>
          <w:p>
            <w:pPr>
              <w:spacing w:after="0" w:line="259" w:lineRule="auto"/>
            </w:pPr>
            <w:r>
              <w:rPr>
                <w:rFonts w:ascii="Calibri" w:hAnsi="Calibri" w:eastAsia="Microsoft JhengHei"/>
                <w:b w:val="0"/>
                <w:sz w:val="19"/>
              </w:rPr>
              <w:t>不自動地理編碼，也不建立精確地圖標記。</w:t>
            </w:r>
          </w:p>
        </w:tc>
        <w:tc>
          <w:tcPr>
            <w:tcW w:type="dxa" w:w="3760"/>
          </w:tcPr>
          <w:p>
            <w:pPr>
              <w:spacing w:after="0" w:line="259" w:lineRule="auto"/>
            </w:pPr>
            <w:r>
              <w:rPr>
                <w:rFonts w:ascii="Calibri" w:hAnsi="Calibri" w:eastAsia="Microsoft JhengHei"/>
                <w:b w:val="0"/>
                <w:sz w:val="19"/>
              </w:rPr>
              <w:t>避免錯位與不當精確性；改提供外部地圖查詢。</w:t>
            </w:r>
          </w:p>
        </w:tc>
      </w:tr>
      <w:tr>
        <w:tc>
          <w:tcPr>
            <w:tcW w:type="dxa" w:w="1900"/>
          </w:tcPr>
          <w:p>
            <w:pPr>
              <w:spacing w:after="0" w:line="259" w:lineRule="auto"/>
            </w:pPr>
            <w:r>
              <w:rPr>
                <w:rFonts w:ascii="Calibri" w:hAnsi="Calibri" w:eastAsia="Microsoft JhengHei"/>
                <w:b/>
                <w:color w:val="0B2545"/>
                <w:sz w:val="19"/>
              </w:rPr>
              <w:t>來源欄位缺漏或改名</w:t>
            </w:r>
          </w:p>
        </w:tc>
        <w:tc>
          <w:tcPr>
            <w:tcW w:type="dxa" w:w="3700"/>
          </w:tcPr>
          <w:p>
            <w:pPr>
              <w:spacing w:after="0" w:line="259" w:lineRule="auto"/>
            </w:pPr>
            <w:r>
              <w:rPr>
                <w:rFonts w:ascii="Calibri" w:hAnsi="Calibri" w:eastAsia="Microsoft JhengHei"/>
                <w:b w:val="0"/>
                <w:sz w:val="19"/>
              </w:rPr>
              <w:t>轉換報告統計缺值、重複、異常格式與未辨識欄位。</w:t>
            </w:r>
          </w:p>
        </w:tc>
        <w:tc>
          <w:tcPr>
            <w:tcW w:type="dxa" w:w="3760"/>
          </w:tcPr>
          <w:p>
            <w:pPr>
              <w:spacing w:after="0" w:line="259" w:lineRule="auto"/>
            </w:pPr>
            <w:r>
              <w:rPr>
                <w:rFonts w:ascii="Calibri" w:hAnsi="Calibri" w:eastAsia="Microsoft JhengHei"/>
                <w:b w:val="0"/>
                <w:sz w:val="19"/>
              </w:rPr>
              <w:t>讓資料更新失敗或品質下降可被偵測，而不是靜默發布。</w:t>
            </w:r>
          </w:p>
        </w:tc>
      </w:tr>
    </w:tbl>
    <w:p>
      <w:pPr>
        <w:spacing w:after="40"/>
      </w:pPr>
    </w:p>
    <w:p>
      <w:pPr>
        <w:pStyle w:val="Heading1"/>
        <w:spacing w:before="320" w:after="160" w:line="252" w:lineRule="auto"/>
        <w:keepNext/>
      </w:pPr>
      <w:r>
        <w:rPr>
          <w:rFonts w:ascii="Calibri" w:hAnsi="Calibri" w:eastAsia="Microsoft JhengHei"/>
          <w:b/>
          <w:color w:val="2E74B5"/>
          <w:sz w:val="32"/>
        </w:rPr>
        <w:t>五、篩選與搜尋為何這樣設計？</w:t>
      </w:r>
    </w:p>
    <w:p>
      <w:pPr>
        <w:spacing w:after="120" w:before="0" w:line="264" w:lineRule="auto"/>
      </w:pPr>
      <w:r>
        <w:rPr>
          <w:rFonts w:ascii="Calibri" w:hAnsi="Calibri" w:eastAsia="Microsoft JhengHei"/>
        </w:rPr>
        <w:t>篩選採「先縮小範圍、再找文字」的順序：行政區等高辨識度欄位放在下拉篩選；是否有電話、設立別、資料類型等狀態放在次要篩選；名稱、地址、電話與代碼則納入單一搜尋框。這種設計同時照顧知道目標區域的使用者與只記得部分名稱或地址的人。</w:t>
      </w:r>
    </w:p>
    <w:tbl>
      <w:tblPr>
        <w:tblStyle w:val="TableGrid"/>
        <w:tblW w:type="dxa" w:w="9360"/>
        <w:jc w:val="left"/>
        <w:tblLayout w:type="fixed"/>
        <w:tblLook w:firstColumn="1" w:firstRow="1" w:lastColumn="0" w:lastRow="0" w:noHBand="0" w:noVBand="1" w:val="04A0"/>
        <w:tblInd w:w="120" w:type="dxa"/>
      </w:tblPr>
      <w:tblGrid>
        <w:gridCol w:w="1900"/>
        <w:gridCol w:w="3700"/>
        <w:gridCol w:w="3760"/>
      </w:tblGrid>
      <w:tr>
        <w:tc>
          <w:tcPr>
            <w:tcW w:type="dxa" w:w="1900"/>
            <w:vAlign w:val="center"/>
            <w:tcMar>
              <w:top w:w="80" w:type="dxa"/>
              <w:start w:w="120" w:type="dxa"/>
              <w:bottom w:w="80" w:type="dxa"/>
              <w:end w:w="120" w:type="dxa"/>
            </w:tcMar>
            <w:shd w:fill="F2F4F7"/>
          </w:tcPr>
          <w:p>
            <w:pPr>
              <w:jc w:val="center"/>
            </w:pPr>
            <w:r>
              <w:rPr>
                <w:rFonts w:ascii="Calibri" w:hAnsi="Calibri" w:eastAsia="Microsoft JhengHei"/>
                <w:b/>
                <w:color w:val="0B2545"/>
                <w:sz w:val="20"/>
              </w:rPr>
              <w:t>設計原則</w:t>
            </w:r>
          </w:p>
        </w:tc>
        <w:tc>
          <w:tcPr>
            <w:tcW w:type="dxa" w:w="3700"/>
            <w:vAlign w:val="center"/>
            <w:tcMar>
              <w:top w:w="80" w:type="dxa"/>
              <w:start w:w="120" w:type="dxa"/>
              <w:bottom w:w="80" w:type="dxa"/>
              <w:end w:w="120" w:type="dxa"/>
            </w:tcMar>
            <w:shd w:fill="F2F4F7"/>
          </w:tcPr>
          <w:p>
            <w:pPr>
              <w:jc w:val="center"/>
            </w:pPr>
            <w:r>
              <w:rPr>
                <w:rFonts w:ascii="Calibri" w:hAnsi="Calibri" w:eastAsia="Microsoft JhengHei"/>
                <w:b/>
                <w:color w:val="0B2545"/>
                <w:sz w:val="20"/>
              </w:rPr>
              <w:t>實作方式</w:t>
            </w:r>
          </w:p>
        </w:tc>
        <w:tc>
          <w:tcPr>
            <w:tcW w:type="dxa" w:w="3760"/>
            <w:vAlign w:val="center"/>
            <w:tcMar>
              <w:top w:w="80" w:type="dxa"/>
              <w:start w:w="120" w:type="dxa"/>
              <w:bottom w:w="80" w:type="dxa"/>
              <w:end w:w="120" w:type="dxa"/>
            </w:tcMar>
            <w:shd w:fill="F2F4F7"/>
          </w:tcPr>
          <w:p>
            <w:pPr>
              <w:jc w:val="center"/>
            </w:pPr>
            <w:r>
              <w:rPr>
                <w:rFonts w:ascii="Calibri" w:hAnsi="Calibri" w:eastAsia="Microsoft JhengHei"/>
                <w:b/>
                <w:color w:val="0B2545"/>
                <w:sz w:val="20"/>
              </w:rPr>
              <w:t>帶來的效果</w:t>
            </w:r>
          </w:p>
        </w:tc>
      </w:tr>
      <w:tr>
        <w:tc>
          <w:tcPr>
            <w:tcW w:type="dxa" w:w="1900"/>
          </w:tcPr>
          <w:p>
            <w:pPr>
              <w:spacing w:after="0" w:line="259" w:lineRule="auto"/>
            </w:pPr>
            <w:r>
              <w:rPr>
                <w:rFonts w:ascii="Calibri" w:hAnsi="Calibri" w:eastAsia="Microsoft JhengHei"/>
                <w:b/>
                <w:color w:val="0B2545"/>
                <w:sz w:val="19"/>
              </w:rPr>
              <w:t>一份篩選結果</w:t>
            </w:r>
          </w:p>
        </w:tc>
        <w:tc>
          <w:tcPr>
            <w:tcW w:type="dxa" w:w="3700"/>
          </w:tcPr>
          <w:p>
            <w:pPr>
              <w:spacing w:after="0" w:line="259" w:lineRule="auto"/>
            </w:pPr>
            <w:r>
              <w:rPr>
                <w:rFonts w:ascii="Calibri" w:hAnsi="Calibri" w:eastAsia="Microsoft JhengHei"/>
                <w:b w:val="0"/>
                <w:sz w:val="19"/>
              </w:rPr>
              <w:t>所有視圖從同一 filteredRecords 產生。</w:t>
            </w:r>
          </w:p>
        </w:tc>
        <w:tc>
          <w:tcPr>
            <w:tcW w:type="dxa" w:w="3760"/>
          </w:tcPr>
          <w:p>
            <w:pPr>
              <w:spacing w:after="0" w:line="259" w:lineRule="auto"/>
            </w:pPr>
            <w:r>
              <w:rPr>
                <w:rFonts w:ascii="Calibri" w:hAnsi="Calibri" w:eastAsia="Microsoft JhengHei"/>
                <w:b w:val="0"/>
                <w:sz w:val="19"/>
              </w:rPr>
              <w:t>摘要卡、圖表、目錄與匯出數字一致，減少跨視圖誤解。</w:t>
            </w:r>
          </w:p>
        </w:tc>
      </w:tr>
      <w:tr>
        <w:tc>
          <w:tcPr>
            <w:tcW w:type="dxa" w:w="1900"/>
          </w:tcPr>
          <w:p>
            <w:pPr>
              <w:spacing w:after="0" w:line="259" w:lineRule="auto"/>
            </w:pPr>
            <w:r>
              <w:rPr>
                <w:rFonts w:ascii="Calibri" w:hAnsi="Calibri" w:eastAsia="Microsoft JhengHei"/>
                <w:b/>
                <w:color w:val="0B2545"/>
                <w:sz w:val="19"/>
              </w:rPr>
              <w:t>可預期的分面篩選</w:t>
            </w:r>
          </w:p>
        </w:tc>
        <w:tc>
          <w:tcPr>
            <w:tcW w:type="dxa" w:w="3700"/>
          </w:tcPr>
          <w:p>
            <w:pPr>
              <w:spacing w:after="0" w:line="259" w:lineRule="auto"/>
            </w:pPr>
            <w:r>
              <w:rPr>
                <w:rFonts w:ascii="Calibri" w:hAnsi="Calibri" w:eastAsia="Microsoft JhengHei"/>
                <w:b w:val="0"/>
                <w:sz w:val="19"/>
              </w:rPr>
              <w:t>使用有限集合的行政區、類型或布林狀態。</w:t>
            </w:r>
          </w:p>
        </w:tc>
        <w:tc>
          <w:tcPr>
            <w:tcW w:type="dxa" w:w="3760"/>
          </w:tcPr>
          <w:p>
            <w:pPr>
              <w:spacing w:after="0" w:line="259" w:lineRule="auto"/>
            </w:pPr>
            <w:r>
              <w:rPr>
                <w:rFonts w:ascii="Calibri" w:hAnsi="Calibri" w:eastAsia="Microsoft JhengHei"/>
                <w:b w:val="0"/>
                <w:sz w:val="19"/>
              </w:rPr>
              <w:t>使用者可快速知道可選範圍，也不必記住原始欄位格式。</w:t>
            </w:r>
          </w:p>
        </w:tc>
      </w:tr>
      <w:tr>
        <w:tc>
          <w:tcPr>
            <w:tcW w:type="dxa" w:w="1900"/>
          </w:tcPr>
          <w:p>
            <w:pPr>
              <w:spacing w:after="0" w:line="259" w:lineRule="auto"/>
            </w:pPr>
            <w:r>
              <w:rPr>
                <w:rFonts w:ascii="Calibri" w:hAnsi="Calibri" w:eastAsia="Microsoft JhengHei"/>
                <w:b/>
                <w:color w:val="0B2545"/>
                <w:sz w:val="19"/>
              </w:rPr>
              <w:t>容錯文字搜尋</w:t>
            </w:r>
          </w:p>
        </w:tc>
        <w:tc>
          <w:tcPr>
            <w:tcW w:type="dxa" w:w="3700"/>
          </w:tcPr>
          <w:p>
            <w:pPr>
              <w:spacing w:after="0" w:line="259" w:lineRule="auto"/>
            </w:pPr>
            <w:r>
              <w:rPr>
                <w:rFonts w:ascii="Calibri" w:hAnsi="Calibri" w:eastAsia="Microsoft JhengHei"/>
                <w:b w:val="0"/>
                <w:sz w:val="19"/>
              </w:rPr>
              <w:t>比對正規化後的名稱、區域、地址、電話、代碼等欄位。</w:t>
            </w:r>
          </w:p>
        </w:tc>
        <w:tc>
          <w:tcPr>
            <w:tcW w:type="dxa" w:w="3760"/>
          </w:tcPr>
          <w:p>
            <w:pPr>
              <w:spacing w:after="0" w:line="259" w:lineRule="auto"/>
            </w:pPr>
            <w:r>
              <w:rPr>
                <w:rFonts w:ascii="Calibri" w:hAnsi="Calibri" w:eastAsia="Microsoft JhengHei"/>
                <w:b w:val="0"/>
                <w:sz w:val="19"/>
              </w:rPr>
              <w:t>可處理全形／半形、空白與電話格式的常見差異。</w:t>
            </w:r>
          </w:p>
        </w:tc>
      </w:tr>
      <w:tr>
        <w:tc>
          <w:tcPr>
            <w:tcW w:type="dxa" w:w="1900"/>
          </w:tcPr>
          <w:p>
            <w:pPr>
              <w:spacing w:after="0" w:line="259" w:lineRule="auto"/>
            </w:pPr>
            <w:r>
              <w:rPr>
                <w:rFonts w:ascii="Calibri" w:hAnsi="Calibri" w:eastAsia="Microsoft JhengHei"/>
                <w:b/>
                <w:color w:val="0B2545"/>
                <w:sz w:val="19"/>
              </w:rPr>
              <w:t>分頁與重設頁碼</w:t>
            </w:r>
          </w:p>
        </w:tc>
        <w:tc>
          <w:tcPr>
            <w:tcW w:type="dxa" w:w="3700"/>
          </w:tcPr>
          <w:p>
            <w:pPr>
              <w:spacing w:after="0" w:line="259" w:lineRule="auto"/>
            </w:pPr>
            <w:r>
              <w:rPr>
                <w:rFonts w:ascii="Calibri" w:hAnsi="Calibri" w:eastAsia="Microsoft JhengHei"/>
                <w:b w:val="0"/>
                <w:sz w:val="19"/>
              </w:rPr>
              <w:t>過濾條件變動時回到第一頁，表格只渲染當頁列。</w:t>
            </w:r>
          </w:p>
        </w:tc>
        <w:tc>
          <w:tcPr>
            <w:tcW w:type="dxa" w:w="3760"/>
          </w:tcPr>
          <w:p>
            <w:pPr>
              <w:spacing w:after="0" w:line="259" w:lineRule="auto"/>
            </w:pPr>
            <w:r>
              <w:rPr>
                <w:rFonts w:ascii="Calibri" w:hAnsi="Calibri" w:eastAsia="Microsoft JhengHei"/>
                <w:b w:val="0"/>
                <w:sz w:val="19"/>
              </w:rPr>
              <w:t>避免條件變動後出現空白頁；控制大量列的 DOM 成本。</w:t>
            </w:r>
          </w:p>
        </w:tc>
      </w:tr>
      <w:tr>
        <w:tc>
          <w:tcPr>
            <w:tcW w:type="dxa" w:w="1900"/>
          </w:tcPr>
          <w:p>
            <w:pPr>
              <w:spacing w:after="0" w:line="259" w:lineRule="auto"/>
            </w:pPr>
            <w:r>
              <w:rPr>
                <w:rFonts w:ascii="Calibri" w:hAnsi="Calibri" w:eastAsia="Microsoft JhengHei"/>
                <w:b/>
                <w:color w:val="0B2545"/>
                <w:sz w:val="19"/>
              </w:rPr>
              <w:t>不保存敏感查詢</w:t>
            </w:r>
          </w:p>
        </w:tc>
        <w:tc>
          <w:tcPr>
            <w:tcW w:type="dxa" w:w="3700"/>
          </w:tcPr>
          <w:p>
            <w:pPr>
              <w:spacing w:after="0" w:line="259" w:lineRule="auto"/>
            </w:pPr>
            <w:r>
              <w:rPr>
                <w:rFonts w:ascii="Calibri" w:hAnsi="Calibri" w:eastAsia="Microsoft JhengHei"/>
                <w:b w:val="0"/>
                <w:sz w:val="19"/>
              </w:rPr>
              <w:t>篩選狀態僅在前端使用，不建立個人化追蹤。</w:t>
            </w:r>
          </w:p>
        </w:tc>
        <w:tc>
          <w:tcPr>
            <w:tcW w:type="dxa" w:w="3760"/>
          </w:tcPr>
          <w:p>
            <w:pPr>
              <w:spacing w:after="0" w:line="259" w:lineRule="auto"/>
            </w:pPr>
            <w:r>
              <w:rPr>
                <w:rFonts w:ascii="Calibri" w:hAnsi="Calibri" w:eastAsia="Microsoft JhengHei"/>
                <w:b w:val="0"/>
                <w:sz w:val="19"/>
              </w:rPr>
              <w:t>降低健康、社福等主題的隱私風險；代價是無跨裝置續用。</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60"/>
            </w:pPr>
            <w:r>
              <w:rPr>
                <w:rFonts w:ascii="Calibri" w:hAnsi="Calibri" w:eastAsia="Microsoft JhengHei"/>
                <w:b/>
                <w:color w:val="0B2545"/>
                <w:sz w:val="22"/>
              </w:rPr>
              <w:t>篩選的取捨</w:t>
            </w:r>
          </w:p>
          <w:p>
            <w:pPr>
              <w:spacing w:after="20" w:line="269" w:lineRule="auto"/>
            </w:pPr>
            <w:r>
              <w:rPr>
                <w:rFonts w:ascii="Calibri" w:hAnsi="Calibri" w:eastAsia="Microsoft JhengHei"/>
                <w:sz w:val="21"/>
              </w:rPr>
              <w:t>目前的前端篩選在單一資料集為中小型公開名單時，可提供直接、低延遲、無伺服器維運的體驗；但它並不適合作為所有資料規模下的固定答案。資料量、更新頻率與跨資料集查詢需求增加後，查詢責任應往後端或邊緣層移動。</w:t>
            </w:r>
          </w:p>
        </w:tc>
      </w:tr>
    </w:tbl>
    <w:p>
      <w:pPr>
        <w:spacing w:after="20"/>
      </w:pPr>
    </w:p>
    <w:p>
      <w:pPr>
        <w:pStyle w:val="Heading1"/>
        <w:spacing w:before="320" w:after="160" w:line="252" w:lineRule="auto"/>
        <w:keepNext/>
      </w:pPr>
      <w:r>
        <w:rPr>
          <w:rFonts w:ascii="Calibri" w:hAnsi="Calibri" w:eastAsia="Microsoft JhengHei"/>
          <w:b/>
          <w:color w:val="2E74B5"/>
          <w:sz w:val="32"/>
        </w:rPr>
        <w:t>六、大型資料與效能：目前方法、邊界與替代方案</w:t>
      </w:r>
    </w:p>
    <w:p>
      <w:pPr>
        <w:spacing w:after="120" w:before="0" w:line="264" w:lineRule="auto"/>
      </w:pPr>
      <w:r>
        <w:rPr>
          <w:rFonts w:ascii="Calibri" w:hAnsi="Calibri" w:eastAsia="Microsoft JhengHei"/>
        </w:rPr>
        <w:t>目前架構在載入資料後，以記憶化計算處理篩選與彙總，目錄採分頁呈現，圖表只繪製聚合後的分類數字而非每筆原始列。這降低了重複運算、DOM 節點數與圖表負擔，也符合多數公開名單以數百至數千筆為主的使用情境。</w:t>
      </w:r>
    </w:p>
    <w:tbl>
      <w:tblPr>
        <w:tblStyle w:val="TableGrid"/>
        <w:tblW w:type="dxa" w:w="9360"/>
        <w:jc w:val="left"/>
        <w:tblLayout w:type="fixed"/>
        <w:tblLook w:firstColumn="1" w:firstRow="1" w:lastColumn="0" w:lastRow="0" w:noHBand="0" w:noVBand="1" w:val="04A0"/>
        <w:tblInd w:w="120" w:type="dxa"/>
      </w:tblPr>
      <w:tblGrid>
        <w:gridCol w:w="2100"/>
        <w:gridCol w:w="3700"/>
        <w:gridCol w:w="3560"/>
      </w:tblGrid>
      <w:tr>
        <w:tc>
          <w:tcPr>
            <w:tcW w:type="dxa" w:w="2100"/>
            <w:vAlign w:val="center"/>
            <w:tcMar>
              <w:top w:w="80" w:type="dxa"/>
              <w:start w:w="120" w:type="dxa"/>
              <w:bottom w:w="80" w:type="dxa"/>
              <w:end w:w="120" w:type="dxa"/>
            </w:tcMar>
            <w:shd w:fill="F2F4F7"/>
          </w:tcPr>
          <w:p>
            <w:pPr>
              <w:jc w:val="center"/>
            </w:pPr>
            <w:r>
              <w:rPr>
                <w:rFonts w:ascii="Calibri" w:hAnsi="Calibri" w:eastAsia="Microsoft JhengHei"/>
                <w:b/>
                <w:color w:val="0B2545"/>
                <w:sz w:val="20"/>
              </w:rPr>
              <w:t>需求條件</w:t>
            </w:r>
          </w:p>
        </w:tc>
        <w:tc>
          <w:tcPr>
            <w:tcW w:type="dxa" w:w="3700"/>
            <w:vAlign w:val="center"/>
            <w:tcMar>
              <w:top w:w="80" w:type="dxa"/>
              <w:start w:w="120" w:type="dxa"/>
              <w:bottom w:w="80" w:type="dxa"/>
              <w:end w:w="120" w:type="dxa"/>
            </w:tcMar>
            <w:shd w:fill="F2F4F7"/>
          </w:tcPr>
          <w:p>
            <w:pPr>
              <w:jc w:val="center"/>
            </w:pPr>
            <w:r>
              <w:rPr>
                <w:rFonts w:ascii="Calibri" w:hAnsi="Calibri" w:eastAsia="Microsoft JhengHei"/>
                <w:b/>
                <w:color w:val="0B2545"/>
                <w:sz w:val="20"/>
              </w:rPr>
              <w:t>適合方案</w:t>
            </w:r>
          </w:p>
        </w:tc>
        <w:tc>
          <w:tcPr>
            <w:tcW w:type="dxa" w:w="3560"/>
            <w:vAlign w:val="center"/>
            <w:tcMar>
              <w:top w:w="80" w:type="dxa"/>
              <w:start w:w="120" w:type="dxa"/>
              <w:bottom w:w="80" w:type="dxa"/>
              <w:end w:w="120" w:type="dxa"/>
            </w:tcMar>
            <w:shd w:fill="F2F4F7"/>
          </w:tcPr>
          <w:p>
            <w:pPr>
              <w:jc w:val="center"/>
            </w:pPr>
            <w:r>
              <w:rPr>
                <w:rFonts w:ascii="Calibri" w:hAnsi="Calibri" w:eastAsia="Microsoft JhengHei"/>
                <w:b/>
                <w:color w:val="0B2545"/>
                <w:sz w:val="20"/>
              </w:rPr>
              <w:t>主要代價／注意事項</w:t>
            </w:r>
          </w:p>
        </w:tc>
      </w:tr>
      <w:tr>
        <w:tc>
          <w:tcPr>
            <w:tcW w:type="dxa" w:w="2100"/>
          </w:tcPr>
          <w:p>
            <w:pPr>
              <w:spacing w:after="0" w:line="259" w:lineRule="auto"/>
            </w:pPr>
            <w:r>
              <w:rPr>
                <w:rFonts w:ascii="Calibri" w:hAnsi="Calibri" w:eastAsia="Microsoft JhengHei"/>
                <w:b/>
                <w:color w:val="0B2545"/>
                <w:sz w:val="19"/>
              </w:rPr>
              <w:t>中小型、更新較少、靜態部署</w:t>
            </w:r>
          </w:p>
        </w:tc>
        <w:tc>
          <w:tcPr>
            <w:tcW w:type="dxa" w:w="3700"/>
          </w:tcPr>
          <w:p>
            <w:pPr>
              <w:spacing w:after="0" w:line="259" w:lineRule="auto"/>
            </w:pPr>
            <w:r>
              <w:rPr>
                <w:rFonts w:ascii="Calibri" w:hAnsi="Calibri" w:eastAsia="Microsoft JhengHei"/>
                <w:b w:val="0"/>
                <w:sz w:val="19"/>
              </w:rPr>
              <w:t>前端載入 JSON + useMemo 篩選 + 分頁。</w:t>
            </w:r>
          </w:p>
        </w:tc>
        <w:tc>
          <w:tcPr>
            <w:tcW w:type="dxa" w:w="3560"/>
          </w:tcPr>
          <w:p>
            <w:pPr>
              <w:spacing w:after="0" w:line="259" w:lineRule="auto"/>
            </w:pPr>
            <w:r>
              <w:rPr>
                <w:rFonts w:ascii="Calibri" w:hAnsi="Calibri" w:eastAsia="Microsoft JhengHei"/>
                <w:b w:val="0"/>
                <w:sz w:val="19"/>
              </w:rPr>
              <w:t>初次下載與 JSON 解析仍在瀏覽器完成；多模組累積時需管理資產體積。</w:t>
            </w:r>
          </w:p>
        </w:tc>
      </w:tr>
      <w:tr>
        <w:tc>
          <w:tcPr>
            <w:tcW w:type="dxa" w:w="2100"/>
          </w:tcPr>
          <w:p>
            <w:pPr>
              <w:spacing w:after="0" w:line="259" w:lineRule="auto"/>
            </w:pPr>
            <w:r>
              <w:rPr>
                <w:rFonts w:ascii="Calibri" w:hAnsi="Calibri" w:eastAsia="Microsoft JhengHei"/>
                <w:b/>
                <w:color w:val="0B2545"/>
                <w:sz w:val="19"/>
              </w:rPr>
              <w:t>數萬筆以上或低階裝置卡頓</w:t>
            </w:r>
          </w:p>
        </w:tc>
        <w:tc>
          <w:tcPr>
            <w:tcW w:type="dxa" w:w="3700"/>
          </w:tcPr>
          <w:p>
            <w:pPr>
              <w:spacing w:after="0" w:line="259" w:lineRule="auto"/>
            </w:pPr>
            <w:r>
              <w:rPr>
                <w:rFonts w:ascii="Calibri" w:hAnsi="Calibri" w:eastAsia="Microsoft JhengHei"/>
                <w:b w:val="0"/>
                <w:sz w:val="19"/>
              </w:rPr>
              <w:t>虛擬化表格、Web Worker 進行搜尋／聚合、按模組延遲載入。</w:t>
            </w:r>
          </w:p>
        </w:tc>
        <w:tc>
          <w:tcPr>
            <w:tcW w:type="dxa" w:w="3560"/>
          </w:tcPr>
          <w:p>
            <w:pPr>
              <w:spacing w:after="0" w:line="259" w:lineRule="auto"/>
            </w:pPr>
            <w:r>
              <w:rPr>
                <w:rFonts w:ascii="Calibri" w:hAnsi="Calibri" w:eastAsia="Microsoft JhengHei"/>
                <w:b w:val="0"/>
                <w:sz w:val="19"/>
              </w:rPr>
              <w:t>實作與除錯複雜度上升；需處理 worker 通訊與可及性。</w:t>
            </w:r>
          </w:p>
        </w:tc>
      </w:tr>
      <w:tr>
        <w:tc>
          <w:tcPr>
            <w:tcW w:type="dxa" w:w="2100"/>
          </w:tcPr>
          <w:p>
            <w:pPr>
              <w:spacing w:after="0" w:line="259" w:lineRule="auto"/>
            </w:pPr>
            <w:r>
              <w:rPr>
                <w:rFonts w:ascii="Calibri" w:hAnsi="Calibri" w:eastAsia="Microsoft JhengHei"/>
                <w:b/>
                <w:color w:val="0B2545"/>
                <w:sz w:val="19"/>
              </w:rPr>
              <w:t>頻繁更新、多人同時查詢</w:t>
            </w:r>
          </w:p>
        </w:tc>
        <w:tc>
          <w:tcPr>
            <w:tcW w:type="dxa" w:w="3700"/>
          </w:tcPr>
          <w:p>
            <w:pPr>
              <w:spacing w:after="0" w:line="259" w:lineRule="auto"/>
            </w:pPr>
            <w:r>
              <w:rPr>
                <w:rFonts w:ascii="Calibri" w:hAnsi="Calibri" w:eastAsia="Microsoft JhengHei"/>
                <w:b w:val="0"/>
                <w:sz w:val="19"/>
              </w:rPr>
              <w:t>後端／邊緣 API 的條件查詢、索引與游標分頁。</w:t>
            </w:r>
          </w:p>
        </w:tc>
        <w:tc>
          <w:tcPr>
            <w:tcW w:type="dxa" w:w="3560"/>
          </w:tcPr>
          <w:p>
            <w:pPr>
              <w:spacing w:after="0" w:line="259" w:lineRule="auto"/>
            </w:pPr>
            <w:r>
              <w:rPr>
                <w:rFonts w:ascii="Calibri" w:hAnsi="Calibri" w:eastAsia="Microsoft JhengHei"/>
                <w:b w:val="0"/>
                <w:sz w:val="19"/>
              </w:rPr>
              <w:t>需要 API 維運、快取、速率限制、資安與監控；也要設計查詢契約。</w:t>
            </w:r>
          </w:p>
        </w:tc>
      </w:tr>
      <w:tr>
        <w:tc>
          <w:tcPr>
            <w:tcW w:type="dxa" w:w="2100"/>
          </w:tcPr>
          <w:p>
            <w:pPr>
              <w:spacing w:after="0" w:line="259" w:lineRule="auto"/>
            </w:pPr>
            <w:r>
              <w:rPr>
                <w:rFonts w:ascii="Calibri" w:hAnsi="Calibri" w:eastAsia="Microsoft JhengHei"/>
                <w:b/>
                <w:color w:val="0B2545"/>
                <w:sz w:val="19"/>
              </w:rPr>
              <w:t>跨資料集關聯或歷史分析</w:t>
            </w:r>
          </w:p>
        </w:tc>
        <w:tc>
          <w:tcPr>
            <w:tcW w:type="dxa" w:w="3700"/>
          </w:tcPr>
          <w:p>
            <w:pPr>
              <w:spacing w:after="0" w:line="259" w:lineRule="auto"/>
            </w:pPr>
            <w:r>
              <w:rPr>
                <w:rFonts w:ascii="Calibri" w:hAnsi="Calibri" w:eastAsia="Microsoft JhengHei"/>
                <w:b w:val="0"/>
                <w:sz w:val="19"/>
              </w:rPr>
              <w:t>資料庫、預先彙總表、版本快照與可重現的 ETL。</w:t>
            </w:r>
          </w:p>
        </w:tc>
        <w:tc>
          <w:tcPr>
            <w:tcW w:type="dxa" w:w="3560"/>
          </w:tcPr>
          <w:p>
            <w:pPr>
              <w:spacing w:after="0" w:line="259" w:lineRule="auto"/>
            </w:pPr>
            <w:r>
              <w:rPr>
                <w:rFonts w:ascii="Calibri" w:hAnsi="Calibri" w:eastAsia="Microsoft JhengHei"/>
                <w:b w:val="0"/>
                <w:sz w:val="19"/>
              </w:rPr>
              <w:t>資料模型與更新治理成本較高；應先確認真正的分析需求。</w:t>
            </w:r>
          </w:p>
        </w:tc>
      </w:tr>
    </w:tbl>
    <w:p>
      <w:pPr>
        <w:spacing w:after="40"/>
      </w:pPr>
    </w:p>
    <w:p>
      <w:pPr>
        <w:pStyle w:val="Heading2"/>
        <w:spacing w:before="240" w:after="120" w:line="252" w:lineRule="auto"/>
        <w:keepNext/>
      </w:pPr>
      <w:r>
        <w:rPr>
          <w:rFonts w:ascii="Calibri" w:hAnsi="Calibri" w:eastAsia="Microsoft JhengHei"/>
          <w:b/>
          <w:color w:val="2E74B5"/>
          <w:sz w:val="26"/>
        </w:rPr>
        <w:t>何時該從前端篩選改成後端查詢？</w:t>
      </w:r>
    </w:p>
    <w:p>
      <w:pPr>
        <w:pStyle w:val="ListBullet"/>
        <w:spacing w:after="100" w:line="280" w:lineRule="auto"/>
      </w:pPr>
      <w:r>
        <w:rPr>
          <w:rFonts w:ascii="Calibri" w:hAnsi="Calibri" w:eastAsia="Microsoft JhengHei"/>
          <w:sz w:val="21"/>
        </w:rPr>
        <w:t>單一模組的下載大小、初次可互動時間或記憶體使用已影響低階裝置。</w:t>
      </w:r>
    </w:p>
    <w:p>
      <w:pPr>
        <w:pStyle w:val="ListBullet"/>
        <w:spacing w:after="100" w:line="280" w:lineRule="auto"/>
      </w:pPr>
      <w:r>
        <w:rPr>
          <w:rFonts w:ascii="Calibri" w:hAnsi="Calibri" w:eastAsia="Microsoft JhengHei"/>
          <w:sz w:val="21"/>
        </w:rPr>
        <w:t>使用者需要深層條件、排序、跨資料集關聯，或要存取大量歷史版本。</w:t>
      </w:r>
    </w:p>
    <w:p>
      <w:pPr>
        <w:pStyle w:val="ListBullet"/>
        <w:spacing w:after="100" w:line="280" w:lineRule="auto"/>
      </w:pPr>
      <w:r>
        <w:rPr>
          <w:rFonts w:ascii="Calibri" w:hAnsi="Calibri" w:eastAsia="Microsoft JhengHei"/>
          <w:sz w:val="21"/>
        </w:rPr>
        <w:t>資料更新頻率提高，且靜態重新建置與 PWA 快取更新已無法滿足資料新鮮度。</w:t>
      </w:r>
    </w:p>
    <w:p>
      <w:pPr>
        <w:pStyle w:val="ListBullet"/>
        <w:spacing w:after="100" w:line="280" w:lineRule="auto"/>
      </w:pPr>
      <w:r>
        <w:rPr>
          <w:rFonts w:ascii="Calibri" w:hAnsi="Calibri" w:eastAsia="Microsoft JhengHei"/>
          <w:sz w:val="21"/>
        </w:rPr>
        <w:t>需要權限、使用量監控、速率限制或稽核紀錄，不能再由純靜態檔案承擔。</w:t>
      </w:r>
    </w:p>
    <w:p>
      <w:pPr>
        <w:spacing w:after="120" w:before="0" w:line="264" w:lineRule="auto"/>
      </w:pPr>
      <w:r>
        <w:rPr>
          <w:rFonts w:ascii="Calibri" w:hAnsi="Calibri" w:eastAsia="Microsoft JhengHei"/>
        </w:rPr>
        <w:t>若轉向後端，較合適的起點是以白名單欄位建立查詢參數，提供游標分頁、伺服端彙總與快取標頭，而不是把任意 SQL 或整份資料庫暴露給前端。前端仍可保留既有的篩選語意，改由 API 回傳當頁資料與同口徑摘要。</w:t>
      </w:r>
    </w:p>
    <w:p>
      <w:pPr>
        <w:pStyle w:val="Heading1"/>
        <w:spacing w:before="320" w:after="160" w:line="252" w:lineRule="auto"/>
        <w:keepNext/>
      </w:pPr>
      <w:r>
        <w:rPr>
          <w:rFonts w:ascii="Calibri" w:hAnsi="Calibri" w:eastAsia="Microsoft JhengHei"/>
          <w:b/>
          <w:color w:val="2E74B5"/>
          <w:sz w:val="32"/>
        </w:rPr>
        <w:t>七、地圖、健康與公共服務資料的安全邊界</w:t>
      </w:r>
    </w:p>
    <w:p>
      <w:pPr>
        <w:spacing w:after="120" w:before="0" w:line="264" w:lineRule="auto"/>
      </w:pPr>
      <w:r>
        <w:rPr>
          <w:rFonts w:ascii="Calibri" w:hAnsi="Calibri" w:eastAsia="Microsoft JhengHei"/>
        </w:rPr>
        <w:t>資料集涵蓋醫療、社福、兒少、動物服務、產業與其他公共主題。這些名單容易被誤讀成即時能力、資格證明或品質排名，因此每個模組都需要以資料來源與免責說明界定範圍。健康與社福相關頁面尤其避免提供診斷、治療、營養、接種、資格或收案建議。</w:t>
      </w:r>
    </w:p>
    <w:tbl>
      <w:tblPr>
        <w:tblStyle w:val="TableGrid"/>
        <w:tblW w:type="dxa" w:w="9360"/>
        <w:jc w:val="left"/>
        <w:tblLayout w:type="fixed"/>
        <w:tblLook w:firstColumn="1" w:firstRow="1" w:lastColumn="0" w:lastRow="0" w:noHBand="0" w:noVBand="1" w:val="04A0"/>
        <w:tblInd w:w="120" w:type="dxa"/>
      </w:tblPr>
      <w:tblGrid>
        <w:gridCol w:w="1900"/>
        <w:gridCol w:w="3850"/>
        <w:gridCol w:w="3610"/>
      </w:tblGrid>
      <w:tr>
        <w:tc>
          <w:tcPr>
            <w:tcW w:type="dxa" w:w="1900"/>
            <w:vAlign w:val="center"/>
            <w:tcMar>
              <w:top w:w="80" w:type="dxa"/>
              <w:start w:w="120" w:type="dxa"/>
              <w:bottom w:w="80" w:type="dxa"/>
              <w:end w:w="120" w:type="dxa"/>
            </w:tcMar>
            <w:shd w:fill="F2F4F7"/>
          </w:tcPr>
          <w:p>
            <w:pPr>
              <w:jc w:val="center"/>
            </w:pPr>
            <w:r>
              <w:rPr>
                <w:rFonts w:ascii="Calibri" w:hAnsi="Calibri" w:eastAsia="Microsoft JhengHei"/>
                <w:b/>
                <w:color w:val="0B2545"/>
                <w:sz w:val="20"/>
              </w:rPr>
              <w:t>風險</w:t>
            </w:r>
          </w:p>
        </w:tc>
        <w:tc>
          <w:tcPr>
            <w:tcW w:type="dxa" w:w="3850"/>
            <w:vAlign w:val="center"/>
            <w:tcMar>
              <w:top w:w="80" w:type="dxa"/>
              <w:start w:w="120" w:type="dxa"/>
              <w:bottom w:w="80" w:type="dxa"/>
              <w:end w:w="120" w:type="dxa"/>
            </w:tcMar>
            <w:shd w:fill="F2F4F7"/>
          </w:tcPr>
          <w:p>
            <w:pPr>
              <w:jc w:val="center"/>
            </w:pPr>
            <w:r>
              <w:rPr>
                <w:rFonts w:ascii="Calibri" w:hAnsi="Calibri" w:eastAsia="Microsoft JhengHei"/>
                <w:b/>
                <w:color w:val="0B2545"/>
                <w:sz w:val="20"/>
              </w:rPr>
              <w:t>採用的邊界</w:t>
            </w:r>
          </w:p>
        </w:tc>
        <w:tc>
          <w:tcPr>
            <w:tcW w:type="dxa" w:w="3610"/>
            <w:vAlign w:val="center"/>
            <w:tcMar>
              <w:top w:w="80" w:type="dxa"/>
              <w:start w:w="120" w:type="dxa"/>
              <w:bottom w:w="80" w:type="dxa"/>
              <w:end w:w="120" w:type="dxa"/>
            </w:tcMar>
            <w:shd w:fill="F2F4F7"/>
          </w:tcPr>
          <w:p>
            <w:pPr>
              <w:jc w:val="center"/>
            </w:pPr>
            <w:r>
              <w:rPr>
                <w:rFonts w:ascii="Calibri" w:hAnsi="Calibri" w:eastAsia="Microsoft JhengHei"/>
                <w:b/>
                <w:color w:val="0B2545"/>
                <w:sz w:val="20"/>
              </w:rPr>
              <w:t>原因</w:t>
            </w:r>
          </w:p>
        </w:tc>
      </w:tr>
      <w:tr>
        <w:tc>
          <w:tcPr>
            <w:tcW w:type="dxa" w:w="1900"/>
          </w:tcPr>
          <w:p>
            <w:pPr>
              <w:spacing w:after="0" w:line="259" w:lineRule="auto"/>
            </w:pPr>
            <w:r>
              <w:rPr>
                <w:rFonts w:ascii="Calibri" w:hAnsi="Calibri" w:eastAsia="Microsoft JhengHei"/>
                <w:b/>
                <w:color w:val="0B2545"/>
                <w:sz w:val="19"/>
              </w:rPr>
              <w:t>精確位置誤導</w:t>
            </w:r>
          </w:p>
        </w:tc>
        <w:tc>
          <w:tcPr>
            <w:tcW w:type="dxa" w:w="3850"/>
          </w:tcPr>
          <w:p>
            <w:pPr>
              <w:spacing w:after="0" w:line="259" w:lineRule="auto"/>
            </w:pPr>
            <w:r>
              <w:rPr>
                <w:rFonts w:ascii="Calibri" w:hAnsi="Calibri" w:eastAsia="Microsoft JhengHei"/>
                <w:b w:val="0"/>
                <w:sz w:val="19"/>
              </w:rPr>
              <w:t>只有來源已確認官方座標的資料才顯示標記；地址型資料僅提供外部查詢連結。</w:t>
            </w:r>
          </w:p>
        </w:tc>
        <w:tc>
          <w:tcPr>
            <w:tcW w:type="dxa" w:w="3610"/>
          </w:tcPr>
          <w:p>
            <w:pPr>
              <w:spacing w:after="0" w:line="259" w:lineRule="auto"/>
            </w:pPr>
            <w:r>
              <w:rPr>
                <w:rFonts w:ascii="Calibri" w:hAnsi="Calibri" w:eastAsia="Microsoft JhengHei"/>
                <w:b w:val="0"/>
                <w:sz w:val="19"/>
              </w:rPr>
              <w:t>地理編碼可能錯位，且「看似精確」比沒有標記更容易造成誤用。</w:t>
            </w:r>
          </w:p>
        </w:tc>
      </w:tr>
      <w:tr>
        <w:tc>
          <w:tcPr>
            <w:tcW w:type="dxa" w:w="1900"/>
          </w:tcPr>
          <w:p>
            <w:pPr>
              <w:spacing w:after="0" w:line="259" w:lineRule="auto"/>
            </w:pPr>
            <w:r>
              <w:rPr>
                <w:rFonts w:ascii="Calibri" w:hAnsi="Calibri" w:eastAsia="Microsoft JhengHei"/>
                <w:b/>
                <w:color w:val="0B2545"/>
                <w:sz w:val="19"/>
              </w:rPr>
              <w:t>即時性誤解</w:t>
            </w:r>
          </w:p>
        </w:tc>
        <w:tc>
          <w:tcPr>
            <w:tcW w:type="dxa" w:w="3850"/>
          </w:tcPr>
          <w:p>
            <w:pPr>
              <w:spacing w:after="0" w:line="259" w:lineRule="auto"/>
            </w:pPr>
            <w:r>
              <w:rPr>
                <w:rFonts w:ascii="Calibri" w:hAnsi="Calibri" w:eastAsia="Microsoft JhengHei"/>
                <w:b w:val="0"/>
                <w:sz w:val="19"/>
              </w:rPr>
              <w:t>以公開名單／資料快照呈現，明示須向據點與主管機關確認。</w:t>
            </w:r>
          </w:p>
        </w:tc>
        <w:tc>
          <w:tcPr>
            <w:tcW w:type="dxa" w:w="3610"/>
          </w:tcPr>
          <w:p>
            <w:pPr>
              <w:spacing w:after="0" w:line="259" w:lineRule="auto"/>
            </w:pPr>
            <w:r>
              <w:rPr>
                <w:rFonts w:ascii="Calibri" w:hAnsi="Calibri" w:eastAsia="Microsoft JhengHei"/>
                <w:b w:val="0"/>
                <w:sz w:val="19"/>
              </w:rPr>
              <w:t>名單無法證明目前營業、名額、庫存、預約或收案狀態。</w:t>
            </w:r>
          </w:p>
        </w:tc>
      </w:tr>
      <w:tr>
        <w:tc>
          <w:tcPr>
            <w:tcW w:type="dxa" w:w="1900"/>
          </w:tcPr>
          <w:p>
            <w:pPr>
              <w:spacing w:after="0" w:line="259" w:lineRule="auto"/>
            </w:pPr>
            <w:r>
              <w:rPr>
                <w:rFonts w:ascii="Calibri" w:hAnsi="Calibri" w:eastAsia="Microsoft JhengHei"/>
                <w:b/>
                <w:color w:val="0B2545"/>
                <w:sz w:val="19"/>
              </w:rPr>
              <w:t>品質與推薦推論</w:t>
            </w:r>
          </w:p>
        </w:tc>
        <w:tc>
          <w:tcPr>
            <w:tcW w:type="dxa" w:w="3850"/>
          </w:tcPr>
          <w:p>
            <w:pPr>
              <w:spacing w:after="0" w:line="259" w:lineRule="auto"/>
            </w:pPr>
            <w:r>
              <w:rPr>
                <w:rFonts w:ascii="Calibri" w:hAnsi="Calibri" w:eastAsia="Microsoft JhengHei"/>
                <w:b w:val="0"/>
                <w:sz w:val="19"/>
              </w:rPr>
              <w:t>不做排名、推薦、醫療品質、環境或法遵推論。</w:t>
            </w:r>
          </w:p>
        </w:tc>
        <w:tc>
          <w:tcPr>
            <w:tcW w:type="dxa" w:w="3610"/>
          </w:tcPr>
          <w:p>
            <w:pPr>
              <w:spacing w:after="0" w:line="259" w:lineRule="auto"/>
            </w:pPr>
            <w:r>
              <w:rPr>
                <w:rFonts w:ascii="Calibri" w:hAnsi="Calibri" w:eastAsia="Microsoft JhengHei"/>
                <w:b w:val="0"/>
                <w:sz w:val="19"/>
              </w:rPr>
              <w:t>資料欄位通常不足以支撐這些結論，推論可能造成實質傷害。</w:t>
            </w:r>
          </w:p>
        </w:tc>
      </w:tr>
      <w:tr>
        <w:tc>
          <w:tcPr>
            <w:tcW w:type="dxa" w:w="1900"/>
          </w:tcPr>
          <w:p>
            <w:pPr>
              <w:spacing w:after="0" w:line="259" w:lineRule="auto"/>
            </w:pPr>
            <w:r>
              <w:rPr>
                <w:rFonts w:ascii="Calibri" w:hAnsi="Calibri" w:eastAsia="Microsoft JhengHei"/>
                <w:b/>
                <w:color w:val="0B2545"/>
                <w:sz w:val="19"/>
              </w:rPr>
              <w:t>兒少與敏感服務</w:t>
            </w:r>
          </w:p>
        </w:tc>
        <w:tc>
          <w:tcPr>
            <w:tcW w:type="dxa" w:w="3850"/>
          </w:tcPr>
          <w:p>
            <w:pPr>
              <w:spacing w:after="0" w:line="259" w:lineRule="auto"/>
            </w:pPr>
            <w:r>
              <w:rPr>
                <w:rFonts w:ascii="Calibri" w:hAnsi="Calibri" w:eastAsia="Microsoft JhengHei"/>
                <w:b w:val="0"/>
                <w:sz w:val="19"/>
              </w:rPr>
              <w:t>避免處理住址、個資與未經驗證的精確座標；維持最小必要呈現。</w:t>
            </w:r>
          </w:p>
        </w:tc>
        <w:tc>
          <w:tcPr>
            <w:tcW w:type="dxa" w:w="3610"/>
          </w:tcPr>
          <w:p>
            <w:pPr>
              <w:spacing w:after="0" w:line="259" w:lineRule="auto"/>
            </w:pPr>
            <w:r>
              <w:rPr>
                <w:rFonts w:ascii="Calibri" w:hAnsi="Calibri" w:eastAsia="Microsoft JhengHei"/>
                <w:b w:val="0"/>
                <w:sz w:val="19"/>
              </w:rPr>
              <w:t>公開可查不等於適合聚合、標記或進一步擴散。</w:t>
            </w:r>
          </w:p>
        </w:tc>
      </w:tr>
    </w:tbl>
    <w:p>
      <w:pPr>
        <w:spacing w:after="40"/>
      </w:pPr>
    </w:p>
    <w:p>
      <w:pPr>
        <w:pStyle w:val="Heading1"/>
        <w:spacing w:before="320" w:after="160" w:line="252" w:lineRule="auto"/>
        <w:keepNext/>
      </w:pPr>
      <w:r>
        <w:rPr>
          <w:rFonts w:ascii="Calibri" w:hAnsi="Calibri" w:eastAsia="Microsoft JhengHei"/>
          <w:b/>
          <w:color w:val="2E74B5"/>
          <w:sz w:val="32"/>
        </w:rPr>
        <w:t>八、已知限制與可持續改善方向</w:t>
      </w:r>
    </w:p>
    <w:tbl>
      <w:tblPr>
        <w:tblStyle w:val="TableGrid"/>
        <w:tblW w:type="dxa" w:w="9360"/>
        <w:jc w:val="left"/>
        <w:tblLayout w:type="fixed"/>
        <w:tblLook w:firstColumn="1" w:firstRow="1" w:lastColumn="0" w:lastRow="0" w:noHBand="0" w:noVBand="1" w:val="04A0"/>
        <w:tblInd w:w="120" w:type="dxa"/>
      </w:tblPr>
      <w:tblGrid>
        <w:gridCol w:w="1700"/>
        <w:gridCol w:w="3820"/>
        <w:gridCol w:w="3840"/>
      </w:tblGrid>
      <w:tr>
        <w:tc>
          <w:tcPr>
            <w:tcW w:type="dxa" w:w="1700"/>
            <w:vAlign w:val="center"/>
            <w:tcMar>
              <w:top w:w="80" w:type="dxa"/>
              <w:start w:w="120" w:type="dxa"/>
              <w:bottom w:w="80" w:type="dxa"/>
              <w:end w:w="120" w:type="dxa"/>
            </w:tcMar>
            <w:shd w:fill="F2F4F7"/>
          </w:tcPr>
          <w:p>
            <w:pPr>
              <w:jc w:val="center"/>
            </w:pPr>
            <w:r>
              <w:rPr>
                <w:rFonts w:ascii="Calibri" w:hAnsi="Calibri" w:eastAsia="Microsoft JhengHei"/>
                <w:b/>
                <w:color w:val="0B2545"/>
                <w:sz w:val="20"/>
              </w:rPr>
              <w:t>面向</w:t>
            </w:r>
          </w:p>
        </w:tc>
        <w:tc>
          <w:tcPr>
            <w:tcW w:type="dxa" w:w="3820"/>
            <w:vAlign w:val="center"/>
            <w:tcMar>
              <w:top w:w="80" w:type="dxa"/>
              <w:start w:w="120" w:type="dxa"/>
              <w:bottom w:w="80" w:type="dxa"/>
              <w:end w:w="120" w:type="dxa"/>
            </w:tcMar>
            <w:shd w:fill="F2F4F7"/>
          </w:tcPr>
          <w:p>
            <w:pPr>
              <w:jc w:val="center"/>
            </w:pPr>
            <w:r>
              <w:rPr>
                <w:rFonts w:ascii="Calibri" w:hAnsi="Calibri" w:eastAsia="Microsoft JhengHei"/>
                <w:b/>
                <w:color w:val="0B2545"/>
                <w:sz w:val="20"/>
              </w:rPr>
              <w:t>目前限制</w:t>
            </w:r>
          </w:p>
        </w:tc>
        <w:tc>
          <w:tcPr>
            <w:tcW w:type="dxa" w:w="3840"/>
            <w:vAlign w:val="center"/>
            <w:tcMar>
              <w:top w:w="80" w:type="dxa"/>
              <w:start w:w="120" w:type="dxa"/>
              <w:bottom w:w="80" w:type="dxa"/>
              <w:end w:w="120" w:type="dxa"/>
            </w:tcMar>
            <w:shd w:fill="F2F4F7"/>
          </w:tcPr>
          <w:p>
            <w:pPr>
              <w:jc w:val="center"/>
            </w:pPr>
            <w:r>
              <w:rPr>
                <w:rFonts w:ascii="Calibri" w:hAnsi="Calibri" w:eastAsia="Microsoft JhengHei"/>
                <w:b/>
                <w:color w:val="0B2545"/>
                <w:sz w:val="20"/>
              </w:rPr>
              <w:t>下一步改善</w:t>
            </w:r>
          </w:p>
        </w:tc>
      </w:tr>
      <w:tr>
        <w:tc>
          <w:tcPr>
            <w:tcW w:type="dxa" w:w="1700"/>
          </w:tcPr>
          <w:p>
            <w:pPr>
              <w:spacing w:after="0" w:line="259" w:lineRule="auto"/>
            </w:pPr>
            <w:r>
              <w:rPr>
                <w:rFonts w:ascii="Calibri" w:hAnsi="Calibri" w:eastAsia="Microsoft JhengHei"/>
                <w:b/>
                <w:color w:val="0B2545"/>
                <w:sz w:val="19"/>
              </w:rPr>
              <w:t>模組導航</w:t>
            </w:r>
          </w:p>
        </w:tc>
        <w:tc>
          <w:tcPr>
            <w:tcW w:type="dxa" w:w="3820"/>
          </w:tcPr>
          <w:p>
            <w:pPr>
              <w:spacing w:after="0" w:line="259" w:lineRule="auto"/>
            </w:pPr>
            <w:r>
              <w:rPr>
                <w:rFonts w:ascii="Calibri" w:hAnsi="Calibri" w:eastAsia="Microsoft JhengHei"/>
                <w:b w:val="0"/>
                <w:sz w:val="19"/>
              </w:rPr>
              <w:t>資料集增加後，手動匯入與導航設定容易分散。</w:t>
            </w:r>
          </w:p>
        </w:tc>
        <w:tc>
          <w:tcPr>
            <w:tcW w:type="dxa" w:w="3840"/>
          </w:tcPr>
          <w:p>
            <w:pPr>
              <w:spacing w:after="0" w:line="259" w:lineRule="auto"/>
            </w:pPr>
            <w:r>
              <w:rPr>
                <w:rFonts w:ascii="Calibri" w:hAnsi="Calibri" w:eastAsia="Microsoft JhengHei"/>
                <w:b w:val="0"/>
                <w:sz w:val="19"/>
              </w:rPr>
              <w:t>建立資料集註冊表，集中定義模組、來源、路由、快取與顯示能力。</w:t>
            </w:r>
          </w:p>
        </w:tc>
      </w:tr>
      <w:tr>
        <w:tc>
          <w:tcPr>
            <w:tcW w:type="dxa" w:w="1700"/>
          </w:tcPr>
          <w:p>
            <w:pPr>
              <w:spacing w:after="0" w:line="259" w:lineRule="auto"/>
            </w:pPr>
            <w:r>
              <w:rPr>
                <w:rFonts w:ascii="Calibri" w:hAnsi="Calibri" w:eastAsia="Microsoft JhengHei"/>
                <w:b/>
                <w:color w:val="0B2545"/>
                <w:sz w:val="19"/>
              </w:rPr>
              <w:t>前端載入</w:t>
            </w:r>
          </w:p>
        </w:tc>
        <w:tc>
          <w:tcPr>
            <w:tcW w:type="dxa" w:w="3820"/>
          </w:tcPr>
          <w:p>
            <w:pPr>
              <w:spacing w:after="0" w:line="259" w:lineRule="auto"/>
            </w:pPr>
            <w:r>
              <w:rPr>
                <w:rFonts w:ascii="Calibri" w:hAnsi="Calibri" w:eastAsia="Microsoft JhengHei"/>
                <w:b w:val="0"/>
                <w:sz w:val="19"/>
              </w:rPr>
              <w:t>模組愈多，打包體積與首次載入壓力上升。</w:t>
            </w:r>
          </w:p>
        </w:tc>
        <w:tc>
          <w:tcPr>
            <w:tcW w:type="dxa" w:w="3840"/>
          </w:tcPr>
          <w:p>
            <w:pPr>
              <w:spacing w:after="0" w:line="259" w:lineRule="auto"/>
            </w:pPr>
            <w:r>
              <w:rPr>
                <w:rFonts w:ascii="Calibri" w:hAnsi="Calibri" w:eastAsia="Microsoft JhengHei"/>
                <w:b w:val="0"/>
                <w:sz w:val="19"/>
              </w:rPr>
              <w:t>以路由層級動態載入，依主題拆分 chunk，量測首次可互動時間。</w:t>
            </w:r>
          </w:p>
        </w:tc>
      </w:tr>
      <w:tr>
        <w:tc>
          <w:tcPr>
            <w:tcW w:type="dxa" w:w="1700"/>
          </w:tcPr>
          <w:p>
            <w:pPr>
              <w:spacing w:after="0" w:line="259" w:lineRule="auto"/>
            </w:pPr>
            <w:r>
              <w:rPr>
                <w:rFonts w:ascii="Calibri" w:hAnsi="Calibri" w:eastAsia="Microsoft JhengHei"/>
                <w:b/>
                <w:color w:val="0B2545"/>
                <w:sz w:val="19"/>
              </w:rPr>
              <w:t>資料新鮮度</w:t>
            </w:r>
          </w:p>
        </w:tc>
        <w:tc>
          <w:tcPr>
            <w:tcW w:type="dxa" w:w="3820"/>
          </w:tcPr>
          <w:p>
            <w:pPr>
              <w:spacing w:after="0" w:line="259" w:lineRule="auto"/>
            </w:pPr>
            <w:r>
              <w:rPr>
                <w:rFonts w:ascii="Calibri" w:hAnsi="Calibri" w:eastAsia="Microsoft JhengHei"/>
                <w:b w:val="0"/>
                <w:sz w:val="19"/>
              </w:rPr>
              <w:t>靜態快照不具即時性，PWA 還可能保留舊版檔案。</w:t>
            </w:r>
          </w:p>
        </w:tc>
        <w:tc>
          <w:tcPr>
            <w:tcW w:type="dxa" w:w="3840"/>
          </w:tcPr>
          <w:p>
            <w:pPr>
              <w:spacing w:after="0" w:line="259" w:lineRule="auto"/>
            </w:pPr>
            <w:r>
              <w:rPr>
                <w:rFonts w:ascii="Calibri" w:hAnsi="Calibri" w:eastAsia="Microsoft JhengHei"/>
                <w:b w:val="0"/>
                <w:sz w:val="19"/>
              </w:rPr>
              <w:t>在轉換流程寫入版本與更新時間；採內容雜湊或明確快取版本策略。</w:t>
            </w:r>
          </w:p>
        </w:tc>
      </w:tr>
      <w:tr>
        <w:tc>
          <w:tcPr>
            <w:tcW w:type="dxa" w:w="1700"/>
          </w:tcPr>
          <w:p>
            <w:pPr>
              <w:spacing w:after="0" w:line="259" w:lineRule="auto"/>
            </w:pPr>
            <w:r>
              <w:rPr>
                <w:rFonts w:ascii="Calibri" w:hAnsi="Calibri" w:eastAsia="Microsoft JhengHei"/>
                <w:b/>
                <w:color w:val="0B2545"/>
                <w:sz w:val="19"/>
              </w:rPr>
              <w:t>資料語意</w:t>
            </w:r>
          </w:p>
        </w:tc>
        <w:tc>
          <w:tcPr>
            <w:tcW w:type="dxa" w:w="3820"/>
          </w:tcPr>
          <w:p>
            <w:pPr>
              <w:spacing w:after="0" w:line="259" w:lineRule="auto"/>
            </w:pPr>
            <w:r>
              <w:rPr>
                <w:rFonts w:ascii="Calibri" w:hAnsi="Calibri" w:eastAsia="Microsoft JhengHei"/>
                <w:b w:val="0"/>
                <w:sz w:val="19"/>
              </w:rPr>
              <w:t>相同欄位名稱在不同來源可能代表不同概念。</w:t>
            </w:r>
          </w:p>
        </w:tc>
        <w:tc>
          <w:tcPr>
            <w:tcW w:type="dxa" w:w="3840"/>
          </w:tcPr>
          <w:p>
            <w:pPr>
              <w:spacing w:after="0" w:line="259" w:lineRule="auto"/>
            </w:pPr>
            <w:r>
              <w:rPr>
                <w:rFonts w:ascii="Calibri" w:hAnsi="Calibri" w:eastAsia="Microsoft JhengHei"/>
                <w:b w:val="0"/>
                <w:sz w:val="19"/>
              </w:rPr>
              <w:t>將欄位字典、來源備註與轉換假設納入資料註記，更新前做 schema 驗證。</w:t>
            </w:r>
          </w:p>
        </w:tc>
      </w:tr>
      <w:tr>
        <w:tc>
          <w:tcPr>
            <w:tcW w:type="dxa" w:w="1700"/>
          </w:tcPr>
          <w:p>
            <w:pPr>
              <w:spacing w:after="0" w:line="259" w:lineRule="auto"/>
            </w:pPr>
            <w:r>
              <w:rPr>
                <w:rFonts w:ascii="Calibri" w:hAnsi="Calibri" w:eastAsia="Microsoft JhengHei"/>
                <w:b/>
                <w:color w:val="0B2545"/>
                <w:sz w:val="19"/>
              </w:rPr>
              <w:t>可及性與實用性</w:t>
            </w:r>
          </w:p>
        </w:tc>
        <w:tc>
          <w:tcPr>
            <w:tcW w:type="dxa" w:w="3820"/>
          </w:tcPr>
          <w:p>
            <w:pPr>
              <w:spacing w:after="0" w:line="259" w:lineRule="auto"/>
            </w:pPr>
            <w:r>
              <w:rPr>
                <w:rFonts w:ascii="Calibri" w:hAnsi="Calibri" w:eastAsia="Microsoft JhengHei"/>
                <w:b w:val="0"/>
                <w:sz w:val="19"/>
              </w:rPr>
              <w:t>資料正確不代表每位使用者都能順利理解或操作。</w:t>
            </w:r>
          </w:p>
        </w:tc>
        <w:tc>
          <w:tcPr>
            <w:tcW w:type="dxa" w:w="3840"/>
          </w:tcPr>
          <w:p>
            <w:pPr>
              <w:spacing w:after="0" w:line="259" w:lineRule="auto"/>
            </w:pPr>
            <w:r>
              <w:rPr>
                <w:rFonts w:ascii="Calibri" w:hAnsi="Calibri" w:eastAsia="Microsoft JhengHei"/>
                <w:b w:val="0"/>
                <w:sz w:val="19"/>
              </w:rPr>
              <w:t>增加鍵盤操作、表格語意、色彩對比檢查與任務式使用者測試。</w:t>
            </w:r>
          </w:p>
        </w:tc>
      </w:tr>
      <w:tr>
        <w:tc>
          <w:tcPr>
            <w:tcW w:type="dxa" w:w="1700"/>
          </w:tcPr>
          <w:p>
            <w:pPr>
              <w:spacing w:after="0" w:line="259" w:lineRule="auto"/>
            </w:pPr>
            <w:r>
              <w:rPr>
                <w:rFonts w:ascii="Calibri" w:hAnsi="Calibri" w:eastAsia="Microsoft JhengHei"/>
                <w:b/>
                <w:color w:val="0B2545"/>
                <w:sz w:val="19"/>
              </w:rPr>
              <w:t>分析深度</w:t>
            </w:r>
          </w:p>
        </w:tc>
        <w:tc>
          <w:tcPr>
            <w:tcW w:type="dxa" w:w="3820"/>
          </w:tcPr>
          <w:p>
            <w:pPr>
              <w:spacing w:after="0" w:line="259" w:lineRule="auto"/>
            </w:pPr>
            <w:r>
              <w:rPr>
                <w:rFonts w:ascii="Calibri" w:hAnsi="Calibri" w:eastAsia="Microsoft JhengHei"/>
                <w:b w:val="0"/>
                <w:sz w:val="19"/>
              </w:rPr>
              <w:t>目前偏向探索與盤點，非長期趨勢或因果分析。</w:t>
            </w:r>
          </w:p>
        </w:tc>
        <w:tc>
          <w:tcPr>
            <w:tcW w:type="dxa" w:w="3840"/>
          </w:tcPr>
          <w:p>
            <w:pPr>
              <w:spacing w:after="0" w:line="259" w:lineRule="auto"/>
            </w:pPr>
            <w:r>
              <w:rPr>
                <w:rFonts w:ascii="Calibri" w:hAnsi="Calibri" w:eastAsia="Microsoft JhengHei"/>
                <w:b w:val="0"/>
                <w:sz w:val="19"/>
              </w:rPr>
              <w:t>若有穩定歷史版本，再建立時間序列、差異報告與可下載方法說明。</w:t>
            </w:r>
          </w:p>
        </w:tc>
      </w:tr>
    </w:tbl>
    <w:p>
      <w:pPr>
        <w:spacing w:after="40"/>
      </w:pPr>
    </w:p>
    <w:p>
      <w:pPr>
        <w:pStyle w:val="Heading2"/>
        <w:spacing w:before="240" w:after="120" w:line="252" w:lineRule="auto"/>
        <w:keepNext/>
      </w:pPr>
      <w:r>
        <w:rPr>
          <w:rFonts w:ascii="Calibri" w:hAnsi="Calibri" w:eastAsia="Microsoft JhengHei"/>
          <w:b/>
          <w:color w:val="2E74B5"/>
          <w:sz w:val="26"/>
        </w:rPr>
        <w:t>建議追蹤的決策指標</w:t>
      </w:r>
    </w:p>
    <w:p>
      <w:pPr>
        <w:pStyle w:val="ListBullet"/>
        <w:spacing w:after="100" w:line="280" w:lineRule="auto"/>
      </w:pPr>
      <w:r>
        <w:rPr>
          <w:rFonts w:ascii="Calibri" w:hAnsi="Calibri" w:eastAsia="Microsoft JhengHei"/>
          <w:sz w:val="21"/>
        </w:rPr>
        <w:t>資料層：轉換成功率、欄位缺值率、重複率、未知行政區率、資料距最後更新的時間。</w:t>
      </w:r>
    </w:p>
    <w:p>
      <w:pPr>
        <w:pStyle w:val="ListBullet"/>
        <w:spacing w:after="100" w:line="280" w:lineRule="auto"/>
      </w:pPr>
      <w:r>
        <w:rPr>
          <w:rFonts w:ascii="Calibri" w:hAnsi="Calibri" w:eastAsia="Microsoft JhengHei"/>
          <w:sz w:val="21"/>
        </w:rPr>
        <w:t>體驗層：各模組 JSON 大小、首次可互動時間、搜尋延遲、分頁切換延遲、低階裝置記憶體使用。</w:t>
      </w:r>
    </w:p>
    <w:p>
      <w:pPr>
        <w:pStyle w:val="ListBullet"/>
        <w:spacing w:after="100" w:line="280" w:lineRule="auto"/>
      </w:pPr>
      <w:r>
        <w:rPr>
          <w:rFonts w:ascii="Calibri" w:hAnsi="Calibri" w:eastAsia="Microsoft JhengHei"/>
          <w:sz w:val="21"/>
        </w:rPr>
        <w:t>治理層：來源連結是否可用、欄位 schema 是否變動、免責說明是否覆蓋敏感主題、PWA 快取版本是否同步。</w:t>
      </w:r>
    </w:p>
    <w:p>
      <w:pPr>
        <w:pStyle w:val="Heading1"/>
        <w:spacing w:before="320" w:after="160" w:line="252" w:lineRule="auto"/>
        <w:keepNext/>
      </w:pPr>
      <w:r>
        <w:rPr>
          <w:rFonts w:ascii="Calibri" w:hAnsi="Calibri" w:eastAsia="Microsoft JhengHei"/>
          <w:b/>
          <w:color w:val="2E74B5"/>
          <w:sz w:val="32"/>
        </w:rPr>
        <w:t>九、結語</w:t>
      </w:r>
    </w:p>
    <w:p>
      <w:pPr>
        <w:spacing w:after="120" w:before="0" w:line="264" w:lineRule="auto"/>
      </w:pPr>
      <w:r>
        <w:rPr>
          <w:rFonts w:ascii="Calibri" w:hAnsi="Calibri" w:eastAsia="Microsoft JhengHei"/>
        </w:rPr>
        <w:t>這個儀表板以「讓公開資料更容易被理解與核對」為目標：先把來源資料標準化、揭露其品質與限制，再用一致的篩選、摘要與目錄降低查找成本。靜態前端架構在目前資料規模下提供了低維運、可重現與適合 PWA 的平衡；同時保留清楚的轉換門檻，讓系統在資料量、更新頻率或查詢複雜度提高時，可以有紀律地演進為更適合的後端查詢架構。</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60"/>
            </w:pPr>
            <w:r>
              <w:rPr>
                <w:rFonts w:ascii="Calibri" w:hAnsi="Calibri" w:eastAsia="Microsoft JhengHei"/>
                <w:b/>
                <w:color w:val="0B2545"/>
                <w:sz w:val="22"/>
              </w:rPr>
              <w:t>使用原則</w:t>
            </w:r>
          </w:p>
          <w:p>
            <w:pPr>
              <w:spacing w:after="20" w:line="269" w:lineRule="auto"/>
            </w:pPr>
            <w:r>
              <w:rPr>
                <w:rFonts w:ascii="Calibri" w:hAnsi="Calibri" w:eastAsia="Microsoft JhengHei"/>
                <w:sz w:val="21"/>
              </w:rPr>
              <w:t>把儀表板視為公開資料的探索與查證入口，而非即時服務承諾、專業建議或機構評比工具。任何與健康、資格、營運、費用、可用性或安全有關的實際決定，均應回到個別機構與主管機關取得最新確認。</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5B6573"/>
        <w:sz w:val="17"/>
      </w:rPr>
      <w:t>資料快照與介面設計紀錄｜2026 年 7 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JhengHei"/>
        <w:b w:val="0"/>
        <w:color w:val="5B6573"/>
        <w:sz w:val="17"/>
      </w:rPr>
      <w:t>臺北公共資料儀表板｜專案設計說明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