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sz w:val="22"/>
          <w:szCs w:val="22"/>
          <w:lang w:val="es-CU" w:eastAsia="es-CU"/>
        </w:rPr>
      </w:pPr>
      <w:r>
        <w:rPr>
          <w:rFonts w:cs="Arial" w:ascii="Arial" w:hAnsi="Arial"/>
          <w:sz w:val="22"/>
          <w:szCs w:val="22"/>
          <w:lang w:val="es-CU" w:eastAsia="es-CU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2007235</wp:posOffset>
            </wp:positionH>
            <wp:positionV relativeFrom="paragraph">
              <wp:posOffset>67945</wp:posOffset>
            </wp:positionV>
            <wp:extent cx="1986280" cy="1327150"/>
            <wp:effectExtent l="0" t="0" r="0" b="0"/>
            <wp:wrapNone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1" t="-181" r="-121" b="-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327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val="es-CU" w:eastAsia="es-CU"/>
        </w:rPr>
      </w:pPr>
      <w:r>
        <w:rPr>
          <w:rFonts w:cs="Arial" w:ascii="Arial" w:hAnsi="Arial"/>
          <w:b/>
          <w:bCs/>
          <w:sz w:val="22"/>
          <w:szCs w:val="22"/>
          <w:lang w:val="es-CU" w:eastAsia="es-CU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  <w:lang w:val="es-CU" w:eastAsia="es-CU"/>
        </w:rPr>
      </w:pPr>
      <w:r>
        <w:rPr>
          <w:rFonts w:cs="Arial" w:ascii="Arial" w:hAnsi="Arial"/>
          <w:b/>
          <w:bCs/>
          <w:sz w:val="22"/>
          <w:szCs w:val="22"/>
          <w:lang w:val="es-CU" w:eastAsia="es-CU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  <w:lang w:val="es-CU" w:eastAsia="es-CU"/>
        </w:rPr>
      </w:pPr>
      <w:r>
        <w:rPr>
          <w:rFonts w:cs="Arial" w:ascii="Arial" w:hAnsi="Arial"/>
          <w:b/>
          <w:bCs/>
          <w:sz w:val="22"/>
          <w:szCs w:val="22"/>
          <w:lang w:val="es-CU" w:eastAsia="es-CU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GUÍA DE AUTOCONTROL GENERAL ACTUALIZADA</w:t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ACTIVIDAD PRESUPUESTADA</w:t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COMPONENTE «GESTIÓN Y PREVENCIÓN DE RIESGOS»</w:t>
      </w:r>
    </w:p>
    <w:p>
      <w:pPr>
        <w:pStyle w:val="Standard"/>
        <w:spacing w:lineRule="auto" w:line="276"/>
        <w:ind w:end="-232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sectPr>
          <w:footerReference w:type="default" r:id="rId3"/>
          <w:type w:val="nextPage"/>
          <w:pgSz w:w="12240" w:h="15840"/>
          <w:pgMar w:left="1418" w:right="1418" w:gutter="0" w:header="0" w:top="1134" w:footer="709" w:bottom="1134"/>
          <w:pgNumType w:fmt="decimal"/>
          <w:formProt w:val="false"/>
          <w:textDirection w:val="lrTb"/>
          <w:docGrid w:type="default" w:linePitch="360" w:charSpace="0"/>
        </w:sectPr>
        <w:pStyle w:val="Standard"/>
        <w:spacing w:lineRule="auto" w:line="276"/>
        <w:jc w:val="center"/>
        <w:rPr/>
      </w:pPr>
      <w:r>
        <w:rPr>
          <w:rFonts w:cs="Arial" w:ascii="Arial" w:hAnsi="Arial"/>
          <w:b/>
          <w:bCs/>
          <w:sz w:val="22"/>
          <w:szCs w:val="22"/>
        </w:rPr>
        <w:t>MAYO DE 2025</w:t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ÍNDICE</w:t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tbl>
      <w:tblPr>
        <w:tblW w:w="8952" w:type="dxa"/>
        <w:jc w:val="start"/>
        <w:tblInd w:w="-206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8613"/>
        <w:gridCol w:w="339"/>
      </w:tblGrid>
      <w:tr>
        <w:trPr/>
        <w:tc>
          <w:tcPr>
            <w:tcW w:w="8613" w:type="dxa"/>
            <w:tcBorders/>
          </w:tcPr>
          <w:p>
            <w:pPr>
              <w:pStyle w:val="Standard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Componente Gestión y prevención de riesgos………………………………………….….</w:t>
            </w:r>
          </w:p>
        </w:tc>
        <w:tc>
          <w:tcPr>
            <w:tcW w:w="339" w:type="dxa"/>
            <w:tcBorders/>
          </w:tcPr>
          <w:p>
            <w:pPr>
              <w:pStyle w:val="Standard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Standard"/>
              <w:widowControl w:val="false"/>
              <w:autoSpaceDE w:val="false"/>
              <w:spacing w:lineRule="auto" w:line="360" w:before="0" w:after="120"/>
              <w:jc w:val="both"/>
              <w:rPr>
                <w:rFonts w:ascii="Arial" w:hAnsi="Arial" w:eastAsia="Times New Roman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  <w:lang w:val="es-MX"/>
              </w:rPr>
              <w:t>Propósito……………………………………………………………………………………….</w:t>
            </w:r>
          </w:p>
        </w:tc>
        <w:tc>
          <w:tcPr>
            <w:tcW w:w="339" w:type="dxa"/>
            <w:tcBorders/>
          </w:tcPr>
          <w:p>
            <w:pPr>
              <w:pStyle w:val="Standard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Standard"/>
              <w:tabs>
                <w:tab w:val="clear" w:pos="708"/>
                <w:tab w:val="left" w:pos="0" w:leader="none"/>
              </w:tabs>
              <w:spacing w:lineRule="auto" w:line="360"/>
              <w:jc w:val="both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eastAsia="es-ES"/>
              </w:rPr>
              <w:t>Principales fuentes de información para el autocontrol…………………………………….</w:t>
            </w:r>
          </w:p>
        </w:tc>
        <w:tc>
          <w:tcPr>
            <w:tcW w:w="339" w:type="dxa"/>
            <w:tcBorders/>
          </w:tcPr>
          <w:p>
            <w:pPr>
              <w:pStyle w:val="Standard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Standard"/>
              <w:tabs>
                <w:tab w:val="clear" w:pos="708"/>
                <w:tab w:val="left" w:pos="0" w:leader="none"/>
              </w:tabs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Cuestionario de preguntas……………………………………………………………...........</w:t>
            </w:r>
          </w:p>
        </w:tc>
        <w:tc>
          <w:tcPr>
            <w:tcW w:w="339" w:type="dxa"/>
            <w:tcBorders/>
          </w:tcPr>
          <w:p>
            <w:pPr>
              <w:pStyle w:val="Standard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Standard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Identificación del riesgo y detección del cambio……………………………………...…….</w:t>
            </w:r>
          </w:p>
        </w:tc>
        <w:tc>
          <w:tcPr>
            <w:tcW w:w="339" w:type="dxa"/>
            <w:tcBorders/>
          </w:tcPr>
          <w:p>
            <w:pPr>
              <w:pStyle w:val="Standard"/>
              <w:spacing w:lineRule="auto" w:line="360"/>
              <w:jc w:val="both"/>
              <w:rPr/>
            </w:pPr>
            <w:r>
              <w:rPr/>
              <w:t>3</w:t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Standard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Determinación de los objetivos de control……………………………………………..…....</w:t>
            </w:r>
          </w:p>
        </w:tc>
        <w:tc>
          <w:tcPr>
            <w:tcW w:w="339" w:type="dxa"/>
            <w:tcBorders/>
          </w:tcPr>
          <w:p>
            <w:pPr>
              <w:pStyle w:val="Standard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</w:t>
            </w:r>
          </w:p>
        </w:tc>
      </w:tr>
      <w:tr>
        <w:trPr/>
        <w:tc>
          <w:tcPr>
            <w:tcW w:w="8613" w:type="dxa"/>
            <w:tcBorders/>
          </w:tcPr>
          <w:p>
            <w:pPr>
              <w:pStyle w:val="Standard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Prevención de riesgos………..........................................................................................</w:t>
            </w:r>
          </w:p>
        </w:tc>
        <w:tc>
          <w:tcPr>
            <w:tcW w:w="339" w:type="dxa"/>
            <w:tcBorders/>
          </w:tcPr>
          <w:p>
            <w:pPr>
              <w:pStyle w:val="Standard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</w:t>
            </w:r>
          </w:p>
        </w:tc>
      </w:tr>
    </w:tbl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sectPr>
          <w:footerReference w:type="default" r:id="rId4"/>
          <w:footerReference w:type="first" r:id="rId5"/>
          <w:type w:val="nextPage"/>
          <w:pgSz w:w="12240" w:h="15840"/>
          <w:pgMar w:left="1418" w:right="1418" w:gutter="0" w:header="0" w:top="1134" w:footer="454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GUÍA DE AUTOCONTROL GENERAL ACTUALIZADA</w:t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spacing w:lineRule="auto" w:line="276"/>
        <w:ind w:start="142" w:end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ACTIVIDAD PRESUPUESTADA</w:t>
      </w:r>
    </w:p>
    <w:p>
      <w:pPr>
        <w:pStyle w:val="Standard"/>
        <w:tabs>
          <w:tab w:val="clear" w:pos="708"/>
          <w:tab w:val="left" w:pos="6237" w:leader="none"/>
        </w:tabs>
        <w:autoSpaceDE w:val="false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tabs>
          <w:tab w:val="clear" w:pos="708"/>
          <w:tab w:val="left" w:pos="0" w:leader="none"/>
        </w:tabs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  <w:t>COMPONENTE «GESTIÓN Y PREVENCIÓN DE RIESGOS»</w:t>
      </w:r>
    </w:p>
    <w:p>
      <w:pPr>
        <w:pStyle w:val="Standard"/>
        <w:tabs>
          <w:tab w:val="clear" w:pos="708"/>
          <w:tab w:val="left" w:pos="0" w:leader="none"/>
        </w:tabs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cs="Arial" w:ascii="Arial" w:hAnsi="Arial"/>
          <w:b/>
          <w:bCs/>
          <w:sz w:val="22"/>
          <w:szCs w:val="22"/>
          <w:lang w:eastAsia="es-ES"/>
        </w:rPr>
      </w:r>
    </w:p>
    <w:p>
      <w:pPr>
        <w:pStyle w:val="Standard"/>
        <w:widowControl w:val="false"/>
        <w:autoSpaceDE w:val="false"/>
        <w:spacing w:before="0" w:after="120"/>
        <w:jc w:val="both"/>
        <w:rPr>
          <w:rFonts w:ascii="Arial" w:hAnsi="Arial" w:eastAsia="Times New Roman" w:cs="Arial"/>
          <w:color w:val="000000"/>
          <w:sz w:val="22"/>
          <w:szCs w:val="22"/>
          <w:u w:val="single"/>
          <w:lang w:val="es-MX"/>
        </w:rPr>
      </w:pPr>
      <w:r>
        <w:rPr>
          <w:rFonts w:eastAsia="Times New Roman" w:cs="Arial" w:ascii="Arial" w:hAnsi="Arial"/>
          <w:color w:val="000000"/>
          <w:sz w:val="22"/>
          <w:szCs w:val="22"/>
          <w:u w:val="single"/>
          <w:lang w:val="es-MX"/>
        </w:rPr>
        <w:t>Propósito:</w:t>
      </w:r>
    </w:p>
    <w:p>
      <w:pPr>
        <w:pStyle w:val="Standard"/>
        <w:autoSpaceDE w:val="false"/>
        <w:jc w:val="both"/>
        <w:rPr/>
      </w:pPr>
      <w:r>
        <w:rPr>
          <w:rFonts w:eastAsia="Times New Roman" w:cs="Arial" w:ascii="Arial" w:hAnsi="Arial"/>
          <w:color w:val="000000"/>
          <w:sz w:val="22"/>
          <w:szCs w:val="22"/>
          <w:lang w:val="es-MX"/>
        </w:rPr>
        <w:t xml:space="preserve">Aportar las generalidades que se deben cumplir en cualquier sistema y actividad a cumplimentar en el </w:t>
      </w:r>
      <w:r>
        <w:rPr>
          <w:rFonts w:eastAsia="Times New Roman" w:cs="Arial" w:ascii="Arial" w:hAnsi="Arial"/>
          <w:b/>
          <w:color w:val="000000"/>
          <w:sz w:val="22"/>
          <w:szCs w:val="22"/>
          <w:lang w:val="es-MX"/>
        </w:rPr>
        <w:t xml:space="preserve">Componente </w:t>
      </w:r>
      <w:r>
        <w:rPr>
          <w:rFonts w:cs="Arial" w:ascii="Arial" w:hAnsi="Arial"/>
          <w:b/>
          <w:bCs/>
          <w:sz w:val="22"/>
          <w:szCs w:val="22"/>
          <w:lang w:eastAsia="es-ES"/>
        </w:rPr>
        <w:t>Gestión y Prevención de Riesgos</w:t>
      </w:r>
      <w:r>
        <w:rPr>
          <w:rFonts w:eastAsia="Times New Roman" w:cs="Arial" w:ascii="Arial" w:hAnsi="Arial"/>
          <w:color w:val="000000"/>
          <w:sz w:val="22"/>
          <w:szCs w:val="22"/>
          <w:lang w:val="es-MX"/>
        </w:rPr>
        <w:t xml:space="preserve">. En aras de facilitar su aplicación; </w:t>
      </w:r>
      <w:r>
        <w:rPr>
          <w:rFonts w:cs="Arial" w:ascii="Arial" w:hAnsi="Arial"/>
          <w:sz w:val="22"/>
          <w:szCs w:val="22"/>
          <w:lang w:eastAsia="es-ES"/>
        </w:rPr>
        <w:t>cada nivel de dirección debe adecuarla</w:t>
      </w:r>
      <w:r>
        <w:rPr>
          <w:rFonts w:eastAsia="Times New Roman" w:cs="Arial" w:ascii="Arial" w:hAnsi="Arial"/>
          <w:color w:val="000000"/>
          <w:sz w:val="22"/>
          <w:szCs w:val="22"/>
          <w:lang w:val="es-MX"/>
        </w:rPr>
        <w:t xml:space="preserve"> a sus características, </w:t>
      </w:r>
      <w:r>
        <w:rPr>
          <w:rFonts w:cs="Arial" w:ascii="Arial" w:hAnsi="Arial"/>
          <w:sz w:val="22"/>
          <w:szCs w:val="22"/>
          <w:lang w:eastAsia="es-ES"/>
        </w:rPr>
        <w:t xml:space="preserve">para su posterior aplicación, </w:t>
      </w:r>
      <w:r>
        <w:rPr>
          <w:rFonts w:eastAsia="Times New Roman" w:cs="Arial" w:ascii="Arial" w:hAnsi="Arial"/>
          <w:color w:val="000000"/>
          <w:sz w:val="22"/>
          <w:szCs w:val="22"/>
          <w:lang w:val="es-MX"/>
        </w:rPr>
        <w:t>excluyendo lo que no les es aplicable y adicionando lo que es específico o conveniente para realizar una correcta valoración de sus procesos, actividades y operaciones.</w:t>
      </w:r>
    </w:p>
    <w:p>
      <w:pPr>
        <w:pStyle w:val="Standard"/>
        <w:autoSpaceDE w:val="false"/>
        <w:jc w:val="both"/>
        <w:rPr>
          <w:rFonts w:ascii="Arial" w:hAnsi="Arial" w:eastAsia="Times New Roman" w:cs="Arial"/>
          <w:color w:val="000000"/>
          <w:sz w:val="22"/>
          <w:szCs w:val="22"/>
          <w:lang w:val="es-MX"/>
        </w:rPr>
      </w:pPr>
      <w:r>
        <w:rPr>
          <w:rFonts w:eastAsia="Times New Roman" w:cs="Arial" w:ascii="Arial" w:hAnsi="Arial"/>
          <w:color w:val="000000"/>
          <w:sz w:val="22"/>
          <w:szCs w:val="22"/>
          <w:lang w:val="es-MX"/>
        </w:rPr>
      </w:r>
    </w:p>
    <w:p>
      <w:pPr>
        <w:pStyle w:val="Normal"/>
        <w:autoSpaceDE w:val="false"/>
        <w:jc w:val="both"/>
        <w:rPr/>
      </w:pPr>
      <w:r>
        <w:rPr>
          <w:rFonts w:cs="Arial" w:ascii="Arial" w:hAnsi="Arial"/>
          <w:sz w:val="22"/>
        </w:rPr>
        <w:t xml:space="preserve">Deberá conservarse la numeración específica de cada aspecto, en el interés de evitar errores en la consolidación y análisis posterior de los resultados del órgano u organismo de la administración central del estado; los aspectos </w:t>
      </w:r>
      <w:r>
        <w:rPr>
          <w:rFonts w:cs="Arial" w:ascii="Arial" w:hAnsi="Arial"/>
          <w:sz w:val="22"/>
          <w:lang w:val="es-419"/>
        </w:rPr>
        <w:t>que se considere adicionar, se incorporan en los componentes correspondientes, al final de cada uno de ellos.</w:t>
      </w:r>
    </w:p>
    <w:p>
      <w:pPr>
        <w:pStyle w:val="Standard"/>
        <w:tabs>
          <w:tab w:val="clear" w:pos="708"/>
          <w:tab w:val="left" w:pos="0" w:leader="none"/>
        </w:tabs>
        <w:jc w:val="both"/>
        <w:rPr>
          <w:rFonts w:ascii="Arial" w:hAnsi="Arial" w:cs="Arial"/>
          <w:bCs/>
          <w:sz w:val="22"/>
          <w:szCs w:val="22"/>
          <w:u w:val="single"/>
          <w:lang w:val="es-419" w:eastAsia="es-ES"/>
        </w:rPr>
      </w:pPr>
      <w:r>
        <w:rPr>
          <w:rFonts w:cs="Arial" w:ascii="Arial" w:hAnsi="Arial"/>
          <w:bCs/>
          <w:sz w:val="22"/>
          <w:szCs w:val="22"/>
          <w:u w:val="single"/>
          <w:lang w:val="es-419" w:eastAsia="es-ES"/>
        </w:rPr>
      </w:r>
    </w:p>
    <w:p>
      <w:pPr>
        <w:pStyle w:val="Standard"/>
        <w:tabs>
          <w:tab w:val="clear" w:pos="708"/>
          <w:tab w:val="left" w:pos="0" w:leader="none"/>
        </w:tabs>
        <w:jc w:val="both"/>
        <w:rPr>
          <w:rFonts w:ascii="Arial" w:hAnsi="Arial" w:cs="Arial"/>
          <w:bCs/>
          <w:sz w:val="22"/>
          <w:szCs w:val="22"/>
          <w:u w:val="single"/>
          <w:lang w:eastAsia="es-ES"/>
        </w:rPr>
      </w:pPr>
      <w:r>
        <w:rPr>
          <w:rFonts w:cs="Arial" w:ascii="Arial" w:hAnsi="Arial"/>
          <w:bCs/>
          <w:sz w:val="22"/>
          <w:szCs w:val="22"/>
          <w:u w:val="single"/>
          <w:lang w:eastAsia="es-ES"/>
        </w:rPr>
        <w:t>Principales fuentes de información para el autocontrol:</w:t>
      </w:r>
    </w:p>
    <w:p>
      <w:pPr>
        <w:pStyle w:val="Standard"/>
        <w:tabs>
          <w:tab w:val="clear" w:pos="708"/>
          <w:tab w:val="left" w:pos="0" w:leader="none"/>
        </w:tabs>
        <w:jc w:val="both"/>
        <w:rPr>
          <w:rFonts w:ascii="Arial" w:hAnsi="Arial" w:cs="Arial"/>
          <w:bCs/>
          <w:sz w:val="22"/>
          <w:szCs w:val="22"/>
          <w:u w:val="single"/>
          <w:lang w:eastAsia="es-ES"/>
        </w:rPr>
      </w:pPr>
      <w:r>
        <w:rPr>
          <w:rFonts w:cs="Arial" w:ascii="Arial" w:hAnsi="Arial"/>
          <w:bCs/>
          <w:sz w:val="22"/>
          <w:szCs w:val="22"/>
          <w:u w:val="single"/>
          <w:lang w:eastAsia="es-ES"/>
        </w:rPr>
      </w:r>
    </w:p>
    <w:p>
      <w:pPr>
        <w:pStyle w:val="Standard"/>
        <w:numPr>
          <w:ilvl w:val="0"/>
          <w:numId w:val="4"/>
        </w:numPr>
        <w:tabs>
          <w:tab w:val="clear" w:pos="708"/>
          <w:tab w:val="left" w:pos="426" w:leader="none"/>
        </w:tabs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Plan de medidas para corregir distorsiones y reimpulsar la economía, a partir de las proyecciones de Gobierno.</w:t>
      </w:r>
    </w:p>
    <w:p>
      <w:pPr>
        <w:pStyle w:val="Standard"/>
        <w:numPr>
          <w:ilvl w:val="0"/>
          <w:numId w:val="4"/>
        </w:numPr>
        <w:tabs>
          <w:tab w:val="clear" w:pos="708"/>
          <w:tab w:val="left" w:pos="426" w:leader="none"/>
        </w:tabs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Directivas generales del Gobierno para la prevención y enfrentamiento al delito, la corrupción, las ilegalidades y las indisciplinas.</w:t>
      </w:r>
    </w:p>
    <w:p>
      <w:pPr>
        <w:pStyle w:val="Standard"/>
        <w:numPr>
          <w:ilvl w:val="0"/>
          <w:numId w:val="4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Documentos que refieran cambios en el contexto externo e interno: legislación, reglamentos, programas de ajuste, tecnología, modificaciones estructurales, de misión, de autoridades, etc.</w:t>
      </w:r>
    </w:p>
    <w:p>
      <w:pPr>
        <w:pStyle w:val="Standard"/>
        <w:numPr>
          <w:ilvl w:val="0"/>
          <w:numId w:val="4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Nuevas líneas de productos o servicios: la inversión en la producción de nuevos bienes y servicios generalmente ocasionan desajustes en el Sistema de Control Interno, el que debe ser revisado.</w:t>
      </w:r>
    </w:p>
    <w:p>
      <w:pPr>
        <w:pStyle w:val="Standard"/>
        <w:numPr>
          <w:ilvl w:val="0"/>
          <w:numId w:val="4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Modificaciones en las políticas: de empleo y salario, monetaria, crediticia, de comercio interno y exterior, así como las políticas medio ambientales, y de ciberseguridad entre otras</w:t>
      </w:r>
    </w:p>
    <w:p>
      <w:pPr>
        <w:pStyle w:val="Standard"/>
        <w:numPr>
          <w:ilvl w:val="0"/>
          <w:numId w:val="4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Reorganizaciones: generalmente significan reducciones de personal que ocasionan, si no son racionalmente practicadas, alteraciones en la separación de funciones y en el nivel de supervisión.</w:t>
      </w:r>
    </w:p>
    <w:p>
      <w:pPr>
        <w:pStyle w:val="Normal"/>
        <w:numPr>
          <w:ilvl w:val="0"/>
          <w:numId w:val="4"/>
        </w:numPr>
        <w:tabs>
          <w:tab w:val="clear" w:pos="708"/>
        </w:tabs>
        <w:ind w:hanging="426" w:start="426" w:end="0"/>
        <w:jc w:val="both"/>
        <w:rPr>
          <w:rFonts w:ascii="Arial" w:hAnsi="Arial" w:eastAsia="Calibri" w:cs="Arial"/>
          <w:sz w:val="22"/>
          <w:szCs w:val="22"/>
          <w:lang w:val="es-ES" w:bidi="ar-SA"/>
        </w:rPr>
      </w:pPr>
      <w:r>
        <w:rPr>
          <w:rFonts w:eastAsia="Calibri" w:cs="Arial" w:ascii="Arial" w:hAnsi="Arial"/>
          <w:sz w:val="22"/>
          <w:szCs w:val="22"/>
          <w:lang w:val="es-ES" w:bidi="ar-SA"/>
        </w:rPr>
        <w:t xml:space="preserve">Estructura, diagrama organizacional y </w:t>
      </w:r>
      <w:r>
        <w:rPr>
          <w:rFonts w:cs="Arial" w:ascii="Arial" w:hAnsi="Arial"/>
          <w:sz w:val="22"/>
          <w:szCs w:val="22"/>
        </w:rPr>
        <w:t>cambios estructurales, de procesos y actividades: relacionado con la introducción, modificación y eliminación de procesos o áreas de la entidad.</w:t>
      </w:r>
    </w:p>
    <w:p>
      <w:pPr>
        <w:pStyle w:val="Standard"/>
        <w:numPr>
          <w:ilvl w:val="0"/>
          <w:numId w:val="4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Hechos extraordinarios ocurridos: relacionados con fraudes (financieros, contables, informáticos), incumplimientos con los clientes, proveedores u otros acreedores, violaciones de las normas de seguridad y protección físicas que ocasionaron robos y pérdidas a la entidad, etc.</w:t>
      </w:r>
    </w:p>
    <w:p>
      <w:pPr>
        <w:pStyle w:val="Standard"/>
        <w:numPr>
          <w:ilvl w:val="0"/>
          <w:numId w:val="4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Evaluación y gestión de riesgos por procesos que permitan actualizar el Plan de Prevención de Riesgos vigente y comparar la efectividad de las medidas adoptadas con períodos precedentes.</w:t>
      </w:r>
    </w:p>
    <w:p>
      <w:pPr>
        <w:pStyle w:val="Standard"/>
        <w:numPr>
          <w:ilvl w:val="0"/>
          <w:numId w:val="4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Técnicas aplicadas que permitan constatar y evaluar los conocimientos de los directivos y trabajadores sobre la cultura de gestión y prevención de riesgos de la entidad.</w:t>
      </w:r>
    </w:p>
    <w:p>
      <w:pPr>
        <w:pStyle w:val="Standard"/>
        <w:numPr>
          <w:ilvl w:val="0"/>
          <w:numId w:val="4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>Resultados de acciones de prevención y control, incumplimiento de normas y procedimientos de Control Interno, violaciones que denotan hallazgos negativos, que permitan actualizar el Plan de Prevención de Riesgos, así como Planes de medidas para dar solución a las deficiencias.</w:t>
      </w:r>
    </w:p>
    <w:p>
      <w:pPr>
        <w:pStyle w:val="Standard"/>
        <w:numPr>
          <w:ilvl w:val="0"/>
          <w:numId w:val="4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</w:rPr>
        <w:t xml:space="preserve">Normativas y procedimientos actualizados </w:t>
      </w:r>
      <w:r>
        <w:rPr>
          <w:rFonts w:cs="Arial" w:ascii="Arial" w:hAnsi="Arial"/>
          <w:sz w:val="22"/>
          <w:szCs w:val="22"/>
          <w:lang w:eastAsia="es-ES"/>
        </w:rPr>
        <w:t>para las relaciones contractuales y comerciales con las formas de gestión no estatal.</w:t>
      </w:r>
    </w:p>
    <w:p>
      <w:pPr>
        <w:pStyle w:val="Standard"/>
        <w:numPr>
          <w:ilvl w:val="0"/>
          <w:numId w:val="4"/>
        </w:numPr>
        <w:ind w:hanging="426" w:start="426" w:end="0"/>
        <w:jc w:val="both"/>
        <w:rPr/>
      </w:pPr>
      <w:r>
        <w:rPr>
          <w:rFonts w:cs="Arial" w:ascii="Arial" w:hAnsi="Arial"/>
          <w:sz w:val="22"/>
          <w:szCs w:val="22"/>
          <w:lang w:eastAsia="es-ES"/>
        </w:rPr>
        <w:t>Información sobre los riesgos identificados vinculados a las relaciones con las MIPYMES estatales o privadas, así como otros actores económicos.</w:t>
      </w:r>
    </w:p>
    <w:p>
      <w:pPr>
        <w:pStyle w:val="Standard"/>
        <w:ind w:hanging="720" w:start="720" w:end="0"/>
        <w:rPr>
          <w:rFonts w:ascii="Arial" w:hAnsi="Arial" w:eastAsia="Arial" w:cs="Arial"/>
          <w:b/>
          <w:sz w:val="22"/>
          <w:szCs w:val="22"/>
          <w:highlight w:val="yellow"/>
          <w:u w:val="single"/>
        </w:rPr>
      </w:pPr>
      <w:r>
        <w:rPr>
          <w:rFonts w:eastAsia="Arial" w:cs="Arial" w:ascii="Arial" w:hAnsi="Arial"/>
          <w:b/>
          <w:sz w:val="22"/>
          <w:szCs w:val="22"/>
          <w:highlight w:val="yellow"/>
          <w:u w:val="single"/>
        </w:rPr>
      </w:r>
    </w:p>
    <w:p>
      <w:pPr>
        <w:pStyle w:val="Standard"/>
        <w:ind w:hanging="720" w:start="720" w:end="0"/>
        <w:rPr>
          <w:rFonts w:ascii="Arial" w:hAnsi="Arial" w:eastAsia="Arial" w:cs="Arial"/>
          <w:b/>
          <w:sz w:val="22"/>
          <w:szCs w:val="22"/>
          <w:highlight w:val="yellow"/>
          <w:u w:val="single"/>
        </w:rPr>
      </w:pPr>
      <w:r>
        <w:rPr>
          <w:rFonts w:eastAsia="Arial" w:cs="Arial" w:ascii="Arial" w:hAnsi="Arial"/>
          <w:b/>
          <w:sz w:val="22"/>
          <w:szCs w:val="22"/>
          <w:highlight w:val="yellow"/>
          <w:u w:val="single"/>
        </w:rPr>
      </w:r>
    </w:p>
    <w:p>
      <w:pPr>
        <w:pStyle w:val="Standard"/>
        <w:ind w:hanging="720" w:start="720" w:end="0"/>
        <w:rPr>
          <w:rFonts w:ascii="Arial" w:hAnsi="Arial" w:eastAsia="Arial" w:cs="Arial"/>
          <w:b/>
          <w:sz w:val="22"/>
          <w:szCs w:val="22"/>
          <w:highlight w:val="yellow"/>
          <w:u w:val="single"/>
        </w:rPr>
      </w:pPr>
      <w:r>
        <w:rPr>
          <w:rFonts w:eastAsia="Arial" w:cs="Arial" w:ascii="Arial" w:hAnsi="Arial"/>
          <w:b/>
          <w:sz w:val="22"/>
          <w:szCs w:val="22"/>
          <w:highlight w:val="yellow"/>
          <w:u w:val="single"/>
        </w:rPr>
      </w:r>
    </w:p>
    <w:p>
      <w:pPr>
        <w:pStyle w:val="Standard"/>
        <w:ind w:hanging="720" w:start="720" w:end="0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w:t>Cuestionario de preguntas:</w:t>
      </w:r>
    </w:p>
    <w:p>
      <w:pPr>
        <w:pStyle w:val="Standard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tbl>
      <w:tblPr>
        <w:tblW w:w="5750" w:type="pct"/>
        <w:jc w:val="center"/>
        <w:tblInd w:w="0" w:type="dxa"/>
        <w:tblLayout w:type="fixed"/>
        <w:tblCellMar>
          <w:top w:w="0" w:type="dxa"/>
          <w:start w:w="10" w:type="dxa"/>
          <w:bottom w:w="0" w:type="dxa"/>
          <w:end w:w="10" w:type="dxa"/>
        </w:tblCellMar>
      </w:tblPr>
      <w:tblGrid>
        <w:gridCol w:w="743"/>
        <w:gridCol w:w="6554"/>
        <w:gridCol w:w="640"/>
        <w:gridCol w:w="720"/>
        <w:gridCol w:w="2157"/>
      </w:tblGrid>
      <w:tr>
        <w:trPr>
          <w:tblHeader w:val="true"/>
          <w:trHeight w:val="264" w:hRule="atLeast"/>
        </w:trPr>
        <w:tc>
          <w:tcPr>
            <w:tcW w:w="743" w:type="dxa"/>
            <w:tcBorders>
              <w:top w:val="double" w:sz="4" w:space="0" w:color="548DD4"/>
              <w:start w:val="double" w:sz="4" w:space="0" w:color="548DD4"/>
              <w:bottom w:val="double" w:sz="4" w:space="0" w:color="548DD4"/>
            </w:tcBorders>
            <w:vAlign w:val="center"/>
          </w:tcPr>
          <w:p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NO.</w:t>
            </w:r>
          </w:p>
          <w:p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eastAsia="es-ES"/>
              </w:rPr>
              <w:t>(1)</w:t>
            </w:r>
          </w:p>
        </w:tc>
        <w:tc>
          <w:tcPr>
            <w:tcW w:w="6554" w:type="dxa"/>
            <w:tcBorders>
              <w:top w:val="double" w:sz="4" w:space="0" w:color="548DD4"/>
              <w:start w:val="double" w:sz="4" w:space="0" w:color="548DD4"/>
              <w:bottom w:val="double" w:sz="4" w:space="0" w:color="548DD4"/>
            </w:tcBorders>
          </w:tcPr>
          <w:p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ASPECTOS A VERIFICAR</w:t>
            </w:r>
          </w:p>
          <w:p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eastAsia="es-ES"/>
              </w:rPr>
              <w:t>(2)</w:t>
            </w:r>
          </w:p>
        </w:tc>
        <w:tc>
          <w:tcPr>
            <w:tcW w:w="640" w:type="dxa"/>
            <w:tcBorders>
              <w:top w:val="double" w:sz="4" w:space="0" w:color="548DD4"/>
              <w:start w:val="double" w:sz="4" w:space="0" w:color="548DD4"/>
              <w:bottom w:val="double" w:sz="4" w:space="0" w:color="548DD4"/>
            </w:tcBorders>
          </w:tcPr>
          <w:p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SÍ</w:t>
            </w:r>
          </w:p>
          <w:p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eastAsia="es-ES"/>
              </w:rPr>
              <w:t>(3)</w:t>
            </w:r>
          </w:p>
        </w:tc>
        <w:tc>
          <w:tcPr>
            <w:tcW w:w="720" w:type="dxa"/>
            <w:tcBorders>
              <w:top w:val="double" w:sz="4" w:space="0" w:color="548DD4"/>
              <w:start w:val="double" w:sz="4" w:space="0" w:color="548DD4"/>
              <w:bottom w:val="double" w:sz="4" w:space="0" w:color="548DD4"/>
            </w:tcBorders>
          </w:tcPr>
          <w:p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NO</w:t>
            </w:r>
          </w:p>
          <w:p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eastAsia="es-ES"/>
              </w:rPr>
              <w:t>(4)</w:t>
            </w:r>
          </w:p>
        </w:tc>
        <w:tc>
          <w:tcPr>
            <w:tcW w:w="2157" w:type="dxa"/>
            <w:tcBorders>
              <w:top w:val="double" w:sz="4" w:space="0" w:color="548DD4"/>
              <w:start w:val="double" w:sz="4" w:space="0" w:color="548DD4"/>
              <w:bottom w:val="double" w:sz="4" w:space="0" w:color="548DD4"/>
              <w:end w:val="double" w:sz="4" w:space="0" w:color="548DD4"/>
            </w:tcBorders>
          </w:tcPr>
          <w:p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  <w:t>Fundamento</w:t>
            </w:r>
          </w:p>
          <w:p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Cs/>
                <w:sz w:val="22"/>
                <w:szCs w:val="22"/>
                <w:lang w:eastAsia="es-ES"/>
              </w:rPr>
              <w:t>(5)</w:t>
            </w:r>
          </w:p>
        </w:tc>
      </w:tr>
      <w:tr>
        <w:trPr>
          <w:trHeight w:val="349" w:hRule="atLeast"/>
        </w:trPr>
        <w:tc>
          <w:tcPr>
            <w:tcW w:w="10814" w:type="dxa"/>
            <w:gridSpan w:val="5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  <w:shd w:fill="8DB3E2" w:val="clear"/>
            <w:tcMar>
              <w:start w:w="108" w:type="dxa"/>
              <w:end w:w="108" w:type="dxa"/>
            </w:tcMar>
          </w:tcPr>
          <w:p>
            <w:pPr>
              <w:pStyle w:val="Standard"/>
              <w:ind w:start="565" w:end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  <w:t>Identificación del riesgo y detección del cambio</w:t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tabs>
                <w:tab w:val="clear" w:pos="708"/>
                <w:tab w:val="left" w:pos="146" w:leader="none"/>
              </w:tabs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ind w:start="109" w:end="165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 xml:space="preserve">Están identificados los riesgos que puedan afectar el cumplimiento de los objetivos a partir </w:t>
            </w:r>
            <w:r>
              <w:rPr>
                <w:rFonts w:eastAsia="Arial Unicode MS" w:cs="Arial" w:ascii="Arial" w:hAnsi="Arial"/>
                <w:sz w:val="22"/>
                <w:szCs w:val="22"/>
                <w:lang w:bidi="hi-IN"/>
              </w:rPr>
              <w:t xml:space="preserve">de los procesos, actividades, 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>áreas y operaciones a desarrollar en la entidad.</w:t>
            </w:r>
          </w:p>
          <w:p>
            <w:pPr>
              <w:pStyle w:val="Standard"/>
              <w:ind w:start="109" w:end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</w:r>
          </w:p>
          <w:p>
            <w:pPr>
              <w:pStyle w:val="Standard"/>
              <w:ind w:start="109" w:end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tuvo en cuenta también:</w:t>
            </w:r>
          </w:p>
          <w:p>
            <w:pPr>
              <w:pStyle w:val="Standard"/>
              <w:ind w:start="109" w:end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</w:r>
          </w:p>
          <w:p>
            <w:pPr>
              <w:pStyle w:val="Standard"/>
              <w:ind w:start="109" w:end="16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Factores internos: medidas y acciones implementadas en la entidad sobre de Políticas, Proyectos y Programas priorizados por el Gobierno, de estos últimos significar: Directivas generales del Gobierno para la prevención y enfrentamiento al delito, la corrupción, las ilegalidades y las indisciplinas; el Envejecimiento Poblacional y de Atención a la Dinámica Demográfica; el Programa de la Vivienda; el Programa de atención a los jóvenes; el Programa Nacional para el adelanto de las Mujeres; así como para la atención a las personas y barrios en situación de vulnerabilidad; posibles manifestaciones de  la subversión enemiga y las indisciplinas, ilegalidades y hechos de corrupción en el ámbito de la gestión administrativa, detectados.</w:t>
            </w:r>
          </w:p>
          <w:p>
            <w:pPr>
              <w:pStyle w:val="Standard"/>
              <w:ind w:start="109" w:end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</w:r>
          </w:p>
          <w:p>
            <w:pPr>
              <w:pStyle w:val="Standard"/>
              <w:ind w:start="109" w:end="165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Factores externos: transformaciones económicas y sociales que se realizan en el país, modificaciones de las políticas, directivas y legislaciones en materia económica, financiera y administrativa, cambios tecnológicos y desastres, entre otros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ind w:start="109" w:end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En la identificación y evaluación de riesgos se tuvo en cuenta la probabilidad de ocurrencia y el impacto, así como en los casos que sea posible, se cuantifica una valoración estimada de la afectación o pérdida de cualquier índole que pudiera ocasionarse.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ind w:start="109" w:end="165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 xml:space="preserve">De existir riesgos financieros en su entidad, estos son administrados para la toma de decisiones, considerando las pérdidas por 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>medidas antiinflacionarias aprobadas y otras asociadas a la organización del sistema salarial y a la productividad del trabajo, variación de precios y tarifas y tasas de interés.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ind w:start="109" w:end="165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Se analizan de forma periódica los riesgos internos y externos, dejando evidencia documental que lo sustente y se adoptan medidas correctivas y preventivas para minimización.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10814" w:type="dxa"/>
            <w:gridSpan w:val="5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  <w:shd w:fill="8DB3E2" w:val="clear"/>
            <w:tcMar>
              <w:start w:w="108" w:type="dxa"/>
              <w:end w:w="108" w:type="dxa"/>
            </w:tcMar>
          </w:tcPr>
          <w:p>
            <w:pPr>
              <w:pStyle w:val="Standard"/>
              <w:ind w:start="109" w:end="165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  <w:t>Determinación de los objetivos de control</w:t>
            </w:r>
          </w:p>
        </w:tc>
      </w:tr>
      <w:tr>
        <w:trPr/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ind w:start="109" w:end="165"/>
              <w:jc w:val="both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Se realiza el diagnóstico de los riesgos más relevantes que afectan el cumplimiento de los objetivos de trabajo y se determinan los objetivos de control, observando los relacionados con los procesos o áreas de dirección general, la actividad principal y de apoyo.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eastAsia="Times New Roman" w:cs="Arial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eastAsia="Times New Roman" w:cs="Arial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eastAsia="Times New Roman" w:cs="Arial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2"/>
                <w:szCs w:val="22"/>
                <w:lang w:eastAsia="es-ES"/>
              </w:rPr>
            </w:r>
          </w:p>
        </w:tc>
      </w:tr>
      <w:tr>
        <w:trPr/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ind w:start="109" w:end="165"/>
              <w:jc w:val="both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Están determinados y actualizados los objetivos de control, se definen las medidas o procedimientos a aplicar, dejando evidencia documental del proceso y consta análisis y valoraciones sobre ello en los diferentes marcos aprobados en la entidad.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eastAsia="Times New Roman" w:cs="Arial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eastAsia="Times New Roman" w:cs="Arial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eastAsia="Times New Roman" w:cs="Arial"/>
                <w:b/>
                <w:bCs/>
                <w:color w:val="000000"/>
                <w:sz w:val="22"/>
                <w:szCs w:val="22"/>
                <w:lang w:eastAsia="es-ES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10814" w:type="dxa"/>
            <w:gridSpan w:val="5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  <w:shd w:fill="8DB3E2" w:val="clear"/>
            <w:tcMar>
              <w:start w:w="108" w:type="dxa"/>
              <w:end w:w="108" w:type="dxa"/>
            </w:tcMar>
          </w:tcPr>
          <w:p>
            <w:pPr>
              <w:pStyle w:val="Standard"/>
              <w:ind w:start="109" w:end="165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  <w:t>Prevención de riesgos</w:t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ind w:start="109" w:end="165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El Plan de Prevención de Riesgos de la entidad está elaborado e incluyen las medidas para eliminar o reducir los riesgos más relevantes identificados en cada área o actividad, en función de los objetivos de control determinados.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ind w:start="109" w:end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El Plan de Prevención de Riesgos está aprobado por la dirección y se actualiza y analiza sistemáticamente con la activa participación de los trabajadores y ante la ocurrencia de hechos que lo requieran, y son divulgados a todo el sistema. Para la actualización del Plan de Prevención de Riesgos se tiene en cuenta:</w:t>
            </w:r>
          </w:p>
          <w:p>
            <w:pPr>
              <w:pStyle w:val="Standard"/>
              <w:ind w:start="109" w:end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</w:r>
          </w:p>
          <w:p>
            <w:pPr>
              <w:pStyle w:val="Standard"/>
              <w:numPr>
                <w:ilvl w:val="0"/>
                <w:numId w:val="5"/>
              </w:numPr>
              <w:tabs>
                <w:tab w:val="clear" w:pos="708"/>
                <w:tab w:val="left" w:pos="305" w:leader="none"/>
              </w:tabs>
              <w:ind w:hanging="0" w:start="109" w:end="165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Análisis de tendencias de los hechos ocurridos en períodos anteriores y los actuales.</w:t>
            </w:r>
          </w:p>
          <w:p>
            <w:pPr>
              <w:pStyle w:val="Standard"/>
              <w:numPr>
                <w:ilvl w:val="0"/>
                <w:numId w:val="5"/>
              </w:numPr>
              <w:tabs>
                <w:tab w:val="clear" w:pos="708"/>
                <w:tab w:val="left" w:pos="305" w:leader="none"/>
              </w:tabs>
              <w:ind w:hanging="0" w:start="109" w:end="165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Reiteración de las deficiencias, causas y condiciones.</w:t>
            </w:r>
          </w:p>
          <w:p>
            <w:pPr>
              <w:pStyle w:val="Standard"/>
              <w:numPr>
                <w:ilvl w:val="0"/>
                <w:numId w:val="5"/>
              </w:numPr>
              <w:tabs>
                <w:tab w:val="clear" w:pos="708"/>
                <w:tab w:val="left" w:pos="305" w:leader="none"/>
              </w:tabs>
              <w:ind w:hanging="0" w:start="109" w:end="165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V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 xml:space="preserve">ulnerabilidades identificadas por el autocontrol, acciones de      prevención y control </w:t>
            </w:r>
            <w:r>
              <w:rPr>
                <w:rFonts w:cs="Arial" w:ascii="Arial" w:hAnsi="Arial"/>
                <w:color w:val="000000"/>
                <w:sz w:val="22"/>
                <w:szCs w:val="22"/>
                <w:lang w:eastAsia="es-ES"/>
              </w:rPr>
              <w:t xml:space="preserve">y 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>hechos extraordinarios ocurridos.</w:t>
            </w:r>
          </w:p>
          <w:p>
            <w:pPr>
              <w:pStyle w:val="Standard"/>
              <w:numPr>
                <w:ilvl w:val="0"/>
                <w:numId w:val="5"/>
              </w:numPr>
              <w:tabs>
                <w:tab w:val="clear" w:pos="708"/>
                <w:tab w:val="left" w:pos="305" w:leader="none"/>
              </w:tabs>
              <w:ind w:hanging="0" w:start="109" w:end="165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Medidas correctivas que permitan demostrar que ha minimizado el impacto negativo de los riesgos identificados.</w:t>
            </w:r>
          </w:p>
          <w:p>
            <w:pPr>
              <w:pStyle w:val="Standard"/>
              <w:numPr>
                <w:ilvl w:val="0"/>
                <w:numId w:val="5"/>
              </w:numPr>
              <w:tabs>
                <w:tab w:val="clear" w:pos="708"/>
                <w:tab w:val="left" w:pos="305" w:leader="none"/>
              </w:tabs>
              <w:ind w:hanging="0" w:start="109" w:end="165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Transformaciones económicas y sociales que se realizan en el país, modificaciones de las políticas, directivas y legislaciones en materia económica, financiera y administrativa, cambios tecnológicos y desastres, entre otros que impacten o se relacionen con la entidad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snapToGrid w:val="false"/>
              <w:spacing w:before="0" w:after="160"/>
              <w:ind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ind w:start="109" w:end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Las acciones y medidas contenidas en el Plan de Prevención de Riesgos:</w:t>
            </w:r>
          </w:p>
        </w:tc>
        <w:tc>
          <w:tcPr>
            <w:tcW w:w="640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  <w:shd w:fill="BFBFBF" w:val="clear"/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  <w:shd w:fill="BFBFBF" w:val="clear"/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  <w:end w:val="single" w:sz="4" w:space="0" w:color="008080"/>
            </w:tcBorders>
            <w:shd w:fill="BFBFBF" w:val="clear"/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327" w:leader="none"/>
              </w:tabs>
              <w:ind w:hanging="0" w:start="109" w:end="165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eastAsia="es-E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>Están dirigidas a lograr la efectividad necesaria que permita eliminar o minimizar en lo posible, las</w:t>
            </w:r>
            <w:r>
              <w:rPr>
                <w:rFonts w:cs="Arial" w:ascii="Arial" w:hAnsi="Arial"/>
                <w:color w:val="FF0000"/>
                <w:sz w:val="22"/>
                <w:szCs w:val="22"/>
                <w:lang w:eastAsia="es-E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>posibles manifestaciones identificadas.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327" w:leader="none"/>
              </w:tabs>
              <w:ind w:hanging="0" w:start="109" w:end="165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eastAsia="es-E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>El autocontrol está incluido como una de las medidas.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327" w:leader="none"/>
              </w:tabs>
              <w:ind w:hanging="0" w:start="109" w:end="165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eastAsia="es-E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>Las medidas no constituyen deberes funcionales de los cargos o desarrollo de actividades de control declaradas en los procedimientos de trabajo y documentos normativos de la entidad.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327" w:leader="none"/>
              </w:tabs>
              <w:ind w:hanging="0" w:start="109" w:end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Las medidas aplicadas eliminan las causas y condiciones que propician las deficiencias o fallas detectadas.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327" w:leader="none"/>
              </w:tabs>
              <w:ind w:hanging="0" w:start="109" w:end="165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 xml:space="preserve">En cuanto a las ocurrencias de las indisciplinas, ilegalidades o manifestaciones de corrupción </w:t>
            </w:r>
            <w:r>
              <w:rPr>
                <w:rFonts w:cs="Arial" w:ascii="Arial" w:hAnsi="Arial"/>
                <w:sz w:val="22"/>
                <w:szCs w:val="22"/>
              </w:rPr>
              <w:t>en el ámbito de la gestión administrativa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>; las medidas deben dirigirse no solo a la prevención sino también al enfrentamiento y minimizar los efectos nocivos de las causas y condiciones.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2"/>
              </w:numPr>
              <w:tabs>
                <w:tab w:val="clear" w:pos="708"/>
                <w:tab w:val="left" w:pos="327" w:leader="none"/>
              </w:tabs>
              <w:ind w:hanging="0" w:start="109" w:end="165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  <w:lang w:eastAsia="es-ES"/>
              </w:rPr>
              <w:t>Se garantiza la contrapartida en el proceso organizacional para el chequeo del cumplimiento de las medidas.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snapToGrid w:val="false"/>
              <w:spacing w:before="0" w:after="160"/>
              <w:ind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</w:tcPr>
          <w:p>
            <w:pPr>
              <w:pStyle w:val="Standard"/>
              <w:ind w:start="109" w:end="165"/>
              <w:jc w:val="both"/>
              <w:rPr/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Existe evidencia de la evaluación del cumplimiento </w:t>
            </w:r>
            <w:r>
              <w:rPr>
                <w:rFonts w:cs="Arial" w:ascii="Arial" w:hAnsi="Arial"/>
                <w:sz w:val="22"/>
                <w:szCs w:val="22"/>
              </w:rPr>
              <w:t>y efectividad del plan de prevención de riesgos, considerando para su medición los siguientes indicadores:</w:t>
            </w:r>
          </w:p>
        </w:tc>
        <w:tc>
          <w:tcPr>
            <w:tcW w:w="640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  <w:shd w:fill="BFBFBF" w:val="clear"/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</w:tcBorders>
            <w:shd w:fill="BFBFBF" w:val="clear"/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8080"/>
              <w:start w:val="single" w:sz="4" w:space="0" w:color="008080"/>
              <w:bottom w:val="single" w:sz="4" w:space="0" w:color="008080"/>
              <w:end w:val="single" w:sz="4" w:space="0" w:color="008080"/>
            </w:tcBorders>
            <w:shd w:fill="BFBFBF" w:val="clear"/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6"/>
              </w:numPr>
              <w:tabs>
                <w:tab w:val="clear" w:pos="708"/>
                <w:tab w:val="left" w:pos="327" w:leader="none"/>
              </w:tabs>
              <w:ind w:hanging="0" w:start="109" w:end="165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La estructura y contenido responde a los objetivos de la organización.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6"/>
              </w:numPr>
              <w:tabs>
                <w:tab w:val="clear" w:pos="708"/>
                <w:tab w:val="left" w:pos="327" w:leader="none"/>
              </w:tabs>
              <w:ind w:hanging="0" w:start="109" w:end="165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La participación de los trabajadores en todo el proceso, que incluye la identificación de los puntos vulnerables, las posibles manifestaciones negativas, medidas a aplicar y sus fechas de cumplimiento, así como responsables y ejecutantes de las mismas.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</w:tr>
      <w:tr>
        <w:trPr>
          <w:trHeight w:val="349" w:hRule="atLeast"/>
        </w:trPr>
        <w:tc>
          <w:tcPr>
            <w:tcW w:w="743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3"/>
              </w:numPr>
              <w:snapToGrid w:val="false"/>
              <w:spacing w:before="0" w:after="160"/>
              <w:ind w:hanging="562" w:start="708" w:end="0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5A5A5A"/>
                <w:sz w:val="22"/>
                <w:szCs w:val="22"/>
                <w:lang w:eastAsia="es-ES"/>
              </w:rPr>
            </w:r>
          </w:p>
        </w:tc>
        <w:tc>
          <w:tcPr>
            <w:tcW w:w="6554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numPr>
                <w:ilvl w:val="0"/>
                <w:numId w:val="6"/>
              </w:numPr>
              <w:tabs>
                <w:tab w:val="clear" w:pos="708"/>
                <w:tab w:val="left" w:pos="327" w:leader="none"/>
              </w:tabs>
              <w:ind w:hanging="0" w:start="109" w:end="165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Existe constancia del cumplimiento de las medidas a aplicar y su efectividad.</w:t>
            </w:r>
          </w:p>
        </w:tc>
        <w:tc>
          <w:tcPr>
            <w:tcW w:w="64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  <w:tc>
          <w:tcPr>
            <w:tcW w:w="720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  <w:tc>
          <w:tcPr>
            <w:tcW w:w="2157" w:type="dxa"/>
            <w:tcBorders>
              <w:top w:val="single" w:sz="4" w:space="0" w:color="003366"/>
              <w:start w:val="single" w:sz="4" w:space="0" w:color="003366"/>
              <w:bottom w:val="single" w:sz="4" w:space="0" w:color="003366"/>
              <w:end w:val="single" w:sz="4" w:space="0" w:color="003366"/>
            </w:tcBorders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  <w:r>
              <w:rPr>
                <w:rFonts w:cs="Arial" w:ascii="Arial" w:hAnsi="Arial"/>
                <w:b/>
                <w:bCs/>
                <w:color w:val="00B050"/>
                <w:sz w:val="22"/>
                <w:szCs w:val="22"/>
                <w:lang w:eastAsia="es-ES"/>
              </w:rPr>
            </w:r>
          </w:p>
        </w:tc>
      </w:tr>
    </w:tbl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10784" w:type="dxa"/>
        <w:jc w:val="start"/>
        <w:tblInd w:w="-60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61"/>
        <w:gridCol w:w="1845"/>
        <w:gridCol w:w="990"/>
        <w:gridCol w:w="1988"/>
      </w:tblGrid>
      <w:tr>
        <w:trPr>
          <w:trHeight w:val="352" w:hRule="atLeast"/>
        </w:trPr>
        <w:tc>
          <w:tcPr>
            <w:tcW w:w="1078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andard"/>
              <w:jc w:val="both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Elaborado y aprobado </w:t>
            </w:r>
            <w:r>
              <w:rPr>
                <w:rFonts w:cs="Arial" w:ascii="Arial" w:hAnsi="Arial"/>
                <w:sz w:val="22"/>
                <w:szCs w:val="22"/>
                <w:lang w:eastAsia="es-ES"/>
              </w:rPr>
              <w:t>(6)</w:t>
            </w:r>
          </w:p>
        </w:tc>
      </w:tr>
      <w:tr>
        <w:trPr>
          <w:trHeight w:val="352" w:hRule="atLeast"/>
        </w:trPr>
        <w:tc>
          <w:tcPr>
            <w:tcW w:w="5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ind w:start="137" w:end="0"/>
              <w:jc w:val="both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Elaborado por:</w:t>
            </w:r>
            <w:r>
              <w:rPr>
                <w:rFonts w:cs="Arial" w:ascii="Arial" w:hAnsi="Arial"/>
                <w:sz w:val="22"/>
                <w:szCs w:val="22"/>
              </w:rPr>
              <w:t xml:space="preserve"> Nombre (s) y apellidos</w:t>
            </w:r>
          </w:p>
        </w:tc>
        <w:tc>
          <w:tcPr>
            <w:tcW w:w="1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Cargo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Firma</w:t>
            </w:r>
          </w:p>
        </w:tc>
        <w:tc>
          <w:tcPr>
            <w:tcW w:w="1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Fecha</w:t>
            </w:r>
          </w:p>
        </w:tc>
      </w:tr>
      <w:tr>
        <w:trPr>
          <w:trHeight w:val="181" w:hRule="atLeast"/>
        </w:trPr>
        <w:tc>
          <w:tcPr>
            <w:tcW w:w="5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ind w:start="137" w:end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352" w:hRule="atLeast"/>
        </w:trPr>
        <w:tc>
          <w:tcPr>
            <w:tcW w:w="5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ind w:start="137" w:end="134"/>
              <w:jc w:val="both"/>
              <w:rPr/>
            </w:pPr>
            <w:r>
              <w:rPr>
                <w:rFonts w:cs="Arial" w:ascii="Arial" w:hAnsi="Arial"/>
                <w:b/>
                <w:sz w:val="22"/>
                <w:szCs w:val="22"/>
              </w:rPr>
              <w:t>Aprobado por el jefe de la unidad organizativa autocontrolada</w:t>
            </w:r>
            <w:r>
              <w:rPr>
                <w:rFonts w:cs="Arial" w:ascii="Arial" w:hAnsi="Arial"/>
                <w:b/>
                <w:sz w:val="22"/>
                <w:szCs w:val="22"/>
                <w:lang w:val="es-MX"/>
              </w:rPr>
              <w:t>:</w:t>
            </w:r>
          </w:p>
          <w:p>
            <w:pPr>
              <w:pStyle w:val="Standard"/>
              <w:ind w:start="137" w:end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Nombre(s) y apellidos</w:t>
            </w:r>
          </w:p>
        </w:tc>
        <w:tc>
          <w:tcPr>
            <w:tcW w:w="1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Cargo</w:t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Firma</w:t>
            </w:r>
          </w:p>
        </w:tc>
        <w:tc>
          <w:tcPr>
            <w:tcW w:w="1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Fecha</w:t>
            </w:r>
          </w:p>
        </w:tc>
      </w:tr>
      <w:tr>
        <w:trPr>
          <w:trHeight w:val="186" w:hRule="atLeast"/>
        </w:trPr>
        <w:tc>
          <w:tcPr>
            <w:tcW w:w="5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9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9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" w:type="dxa"/>
              <w:end w:w="10" w:type="dxa"/>
            </w:tcMar>
          </w:tcPr>
          <w:p>
            <w:pPr>
              <w:pStyle w:val="Standard"/>
              <w:snapToGrid w:val="false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Standard"/>
        <w:tabs>
          <w:tab w:val="clear" w:pos="708"/>
          <w:tab w:val="left" w:pos="6997" w:leader="none"/>
        </w:tabs>
        <w:jc w:val="both"/>
        <w:rPr/>
      </w:pPr>
      <w:r>
        <w:rPr/>
      </w:r>
    </w:p>
    <w:p>
      <w:pPr>
        <w:pStyle w:val="Normal"/>
        <w:rPr>
          <w:lang w:val="es-ES" w:bidi="ar-SA"/>
        </w:rPr>
      </w:pPr>
      <w:r>
        <w:rPr>
          <w:lang w:val="es-ES" w:bidi="ar-SA"/>
        </w:rPr>
      </w:r>
    </w:p>
    <w:p>
      <w:pPr>
        <w:pStyle w:val="Normal"/>
        <w:rPr>
          <w:lang w:val="es-ES" w:bidi="ar-SA"/>
        </w:rPr>
      </w:pPr>
      <w:r>
        <w:rPr>
          <w:lang w:val="es-ES" w:bidi="ar-SA"/>
        </w:rPr>
      </w:r>
    </w:p>
    <w:p>
      <w:pPr>
        <w:pStyle w:val="Normal"/>
        <w:tabs>
          <w:tab w:val="clear" w:pos="708"/>
          <w:tab w:val="left" w:pos="1785" w:leader="none"/>
        </w:tabs>
        <w:rPr>
          <w:lang w:val="es-ES" w:bidi="ar-SA"/>
        </w:rPr>
      </w:pPr>
      <w:r>
        <w:rPr>
          <w:lang w:val="es-ES" w:bidi="ar-SA"/>
        </w:rPr>
        <w:tab/>
      </w:r>
    </w:p>
    <w:sectPr>
      <w:type w:val="continuous"/>
      <w:pgSz w:w="12240" w:h="15840"/>
      <w:pgMar w:left="1418" w:right="1418" w:gutter="0" w:header="0" w:top="1134" w:footer="454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  <w:p>
    <w:pPr>
      <w:pStyle w:val="Foo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tabs>
        <w:tab w:val="clear" w:pos="708"/>
        <w:tab w:val="left" w:pos="277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0"/>
        </w:tabs>
        <w:ind w:start="720" w:hanging="360"/>
      </w:pPr>
      <w:rPr>
        <w:sz w:val="22"/>
        <w:rFonts w:ascii="Arial" w:hAnsi="Arial" w:cs="Arial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8"/>
        </w:tabs>
        <w:ind w:start="708" w:hanging="0"/>
      </w:pPr>
      <w:rPr>
        <w:sz w:val="22"/>
        <w:b w:val="false"/>
        <w:szCs w:val="24"/>
        <w:color w:val="000000"/>
      </w:rPr>
    </w:lvl>
    <w:lvl w:ilvl="1">
      <w:start w:val="1"/>
      <w:numFmt w:val="decimal"/>
      <w:lvlText w:val="%1.%2."/>
      <w:lvlJc w:val="start"/>
      <w:pPr>
        <w:tabs>
          <w:tab w:val="num" w:pos="708"/>
        </w:tabs>
        <w:ind w:start="708" w:hanging="0"/>
      </w:pPr>
    </w:lvl>
    <w:lvl w:ilvl="2">
      <w:start w:val="1"/>
      <w:numFmt w:val="decimal"/>
      <w:lvlText w:val="%1.%2.%3."/>
      <w:lvlJc w:val="start"/>
      <w:pPr>
        <w:tabs>
          <w:tab w:val="num" w:pos="708"/>
        </w:tabs>
        <w:ind w:start="708" w:hanging="0"/>
      </w:pPr>
    </w:lvl>
    <w:lvl w:ilvl="3">
      <w:start w:val="1"/>
      <w:numFmt w:val="decimal"/>
      <w:lvlText w:val="%1.%2.%3.%4."/>
      <w:lvlJc w:val="start"/>
      <w:pPr>
        <w:tabs>
          <w:tab w:val="num" w:pos="708"/>
        </w:tabs>
        <w:ind w:start="708" w:hanging="0"/>
      </w:pPr>
    </w:lvl>
    <w:lvl w:ilvl="4">
      <w:start w:val="1"/>
      <w:numFmt w:val="decimal"/>
      <w:lvlText w:val="%1.%2.%3.%4.%5."/>
      <w:lvlJc w:val="start"/>
      <w:pPr>
        <w:tabs>
          <w:tab w:val="num" w:pos="708"/>
        </w:tabs>
        <w:ind w:start="708" w:hanging="0"/>
      </w:pPr>
    </w:lvl>
    <w:lvl w:ilvl="5">
      <w:start w:val="1"/>
      <w:numFmt w:val="decimal"/>
      <w:lvlText w:val="%1.%2.%3.%4.%5.%6."/>
      <w:lvlJc w:val="start"/>
      <w:pPr>
        <w:tabs>
          <w:tab w:val="num" w:pos="708"/>
        </w:tabs>
        <w:ind w:start="708" w:hanging="0"/>
      </w:pPr>
    </w:lvl>
    <w:lvl w:ilvl="6">
      <w:start w:val="1"/>
      <w:numFmt w:val="decimal"/>
      <w:lvlText w:val="%1.%2.%3.%4.%5.%6.%7."/>
      <w:lvlJc w:val="start"/>
      <w:pPr>
        <w:tabs>
          <w:tab w:val="num" w:pos="708"/>
        </w:tabs>
        <w:ind w:start="708" w:hanging="0"/>
      </w:pPr>
    </w:lvl>
    <w:lvl w:ilvl="7">
      <w:start w:val="1"/>
      <w:numFmt w:val="decimal"/>
      <w:lvlText w:val="%1.%2.%3.%4.%5.%6.%7.%8."/>
      <w:lvlJc w:val="start"/>
      <w:pPr>
        <w:tabs>
          <w:tab w:val="num" w:pos="708"/>
        </w:tabs>
        <w:ind w:start="708" w:hanging="0"/>
      </w:pPr>
    </w:lvl>
    <w:lvl w:ilvl="8">
      <w:start w:val="1"/>
      <w:numFmt w:val="decimal"/>
      <w:lvlText w:val="%1.%2.%3.%4.%5.%6.%7.%8.%9."/>
      <w:lvlJc w:val="start"/>
      <w:pPr>
        <w:tabs>
          <w:tab w:val="num" w:pos="708"/>
        </w:tabs>
        <w:ind w:start="708" w:hanging="0"/>
      </w:pPr>
    </w:lvl>
  </w:abstractNum>
  <w:abstractNum w:abstractNumId="4">
    <w:lvl w:ilvl="0"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  <w:sz w:val="22"/>
        <w:szCs w:val="22"/>
        <w:lang w:val="es-ES"/>
      </w:rPr>
    </w:lvl>
    <w:lvl w:ilvl="1">
      <w:start w:val="0"/>
      <w:numFmt w:val="bullet"/>
      <w:lvlText w:val="o"/>
      <w:lvlJc w:val="start"/>
      <w:pPr>
        <w:tabs>
          <w:tab w:val="num" w:pos="0"/>
        </w:tabs>
        <w:ind w:start="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  <w:sz w:val="22"/>
        <w:szCs w:val="22"/>
        <w:lang w:val="es-ES"/>
      </w:rPr>
    </w:lvl>
    <w:lvl w:ilvl="4">
      <w:start w:val="0"/>
      <w:numFmt w:val="bullet"/>
      <w:lvlText w:val="o"/>
      <w:lvlJc w:val="start"/>
      <w:pPr>
        <w:tabs>
          <w:tab w:val="num" w:pos="0"/>
        </w:tabs>
        <w:ind w:start="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  <w:sz w:val="22"/>
        <w:szCs w:val="22"/>
        <w:lang w:val="es-ES"/>
      </w:rPr>
    </w:lvl>
    <w:lvl w:ilvl="7">
      <w:start w:val="0"/>
      <w:numFmt w:val="bullet"/>
      <w:lvlText w:val="o"/>
      <w:lvlJc w:val="start"/>
      <w:pPr>
        <w:tabs>
          <w:tab w:val="num" w:pos="0"/>
        </w:tabs>
        <w:ind w:start="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start"/>
      <w:pPr>
        <w:tabs>
          <w:tab w:val="num" w:pos="0"/>
        </w:tabs>
        <w:ind w:start="0" w:hanging="0"/>
      </w:pPr>
      <w:rPr>
        <w:sz w:val="22"/>
        <w:szCs w:val="22"/>
        <w:rFonts w:ascii="Arial" w:hAnsi="Arial" w:cs="Arial"/>
        <w:lang w:val="es-ES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0"/>
      </w:pPr>
    </w:lvl>
  </w:abstractNum>
  <w:abstractNum w:abstractNumId="6">
    <w:lvl w:ilvl="0">
      <w:start w:val="1"/>
      <w:numFmt w:val="lowerLetter"/>
      <w:lvlText w:val="%1)"/>
      <w:lvlJc w:val="start"/>
      <w:pPr>
        <w:tabs>
          <w:tab w:val="num" w:pos="0"/>
        </w:tabs>
        <w:ind w:start="0" w:hanging="0"/>
      </w:pPr>
      <w:rPr>
        <w:sz w:val="22"/>
        <w:rFonts w:ascii="Arial" w:hAnsi="Arial" w:cs="Arial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0" w:hanging="0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0" w:hanging="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0" w:hanging="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0" w:hanging="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0" w:hanging="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0" w:hanging="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0" w:hanging="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0" w:hanging="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C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textAlignment w:val="baseline"/>
    </w:pPr>
    <w:rPr>
      <w:rFonts w:ascii="Liberation Serif;Times New Roman" w:hAnsi="Liberation Serif;Times New Roman" w:eastAsia="Noto Sans CJK SC;Times New Roman" w:cs="FreeSans;Times New Roman"/>
      <w:color w:val="auto"/>
      <w:kern w:val="2"/>
      <w:sz w:val="24"/>
      <w:szCs w:val="24"/>
      <w:lang w:val="es-CU" w:eastAsia="zh-CN" w:bidi="hi-IN"/>
    </w:rPr>
  </w:style>
  <w:style w:type="character" w:styleId="WW8Num1z0">
    <w:name w:val="WW8Num1z0"/>
    <w:qFormat/>
    <w:rPr>
      <w:rFonts w:ascii="Arial" w:hAnsi="Arial" w:cs="Arial"/>
      <w:sz w:val="22"/>
    </w:rPr>
  </w:style>
  <w:style w:type="character" w:styleId="WW8Num2z0">
    <w:name w:val="WW8Num2z0"/>
    <w:qFormat/>
    <w:rPr>
      <w:b w:val="false"/>
      <w:color w:val="000000"/>
      <w:sz w:val="22"/>
      <w:szCs w:val="24"/>
    </w:rPr>
  </w:style>
  <w:style w:type="character" w:styleId="WW8Num3z0">
    <w:name w:val="WW8Num3z0"/>
    <w:qFormat/>
    <w:rPr>
      <w:rFonts w:ascii="Symbol" w:hAnsi="Symbol" w:cs="Symbol"/>
      <w:sz w:val="22"/>
      <w:szCs w:val="22"/>
      <w:lang w:val="es-E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Arial" w:hAnsi="Arial" w:cs="Arial"/>
      <w:sz w:val="22"/>
      <w:szCs w:val="22"/>
      <w:lang w:val="es-ES"/>
    </w:rPr>
  </w:style>
  <w:style w:type="character" w:styleId="WW8Num5z0">
    <w:name w:val="WW8Num5z0"/>
    <w:qFormat/>
    <w:rPr>
      <w:rFonts w:ascii="Arial" w:hAnsi="Arial" w:cs="Arial"/>
      <w:sz w:val="22"/>
    </w:rPr>
  </w:style>
  <w:style w:type="character" w:styleId="WW8Num5z1">
    <w:name w:val="WW8Num5z1"/>
    <w:qFormat/>
    <w:rPr>
      <w:rFonts w:cs="Times New Roman"/>
    </w:rPr>
  </w:style>
  <w:style w:type="character" w:styleId="Fuentedeprrafopredeter">
    <w:name w:val="Fuente de párrafo predeter.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Fuentedeprrafopredeter3">
    <w:name w:val="Fuente de párrafo predeter.3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>
      <w:rFonts w:ascii="Symbol" w:hAnsi="Symbol" w:cs="Symbol"/>
      <w:sz w:val="22"/>
      <w:szCs w:val="22"/>
      <w:lang w:val="es-E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Arial" w:hAnsi="Arial" w:cs="Arial"/>
      <w:sz w:val="22"/>
      <w:szCs w:val="22"/>
      <w:lang w:val="es-ES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>
      <w:rFonts w:cs="Times New Roman"/>
    </w:rPr>
  </w:style>
  <w:style w:type="character" w:styleId="Fuentedeprrafopredeter2">
    <w:name w:val="Fuente de párrafo predeter.2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cs="Times New Roman"/>
      <w:color w:val="000000"/>
      <w:sz w:val="24"/>
      <w:szCs w:val="24"/>
    </w:rPr>
  </w:style>
  <w:style w:type="character" w:styleId="WW8Num10z1">
    <w:name w:val="WW8Num10z1"/>
    <w:qFormat/>
    <w:rPr>
      <w:rFonts w:cs="Times New Roman"/>
    </w:rPr>
  </w:style>
  <w:style w:type="character" w:styleId="WW8Num10z7">
    <w:name w:val="WW8Num10z7"/>
    <w:qFormat/>
    <w:rPr>
      <w:rFonts w:ascii="Arial" w:hAnsi="Arial" w:eastAsia="Times New Roman" w:cs="Arial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Arial" w:hAnsi="Arial" w:cs="Arial"/>
      <w:sz w:val="22"/>
      <w:szCs w:val="22"/>
      <w:lang w:val="es-ES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2"/>
      <w:szCs w:val="22"/>
      <w:lang w:val="es-E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cs="Times New Roman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cs="Times New Roman"/>
      <w:color w:val="000000"/>
      <w:sz w:val="24"/>
      <w:szCs w:val="24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cs="Times New Roman"/>
      <w:color w:val="000000"/>
      <w:sz w:val="24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cs="Times New Roman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  <w:sz w:val="22"/>
      <w:szCs w:val="24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St3z0">
    <w:name w:val="WW8NumSt3z0"/>
    <w:qFormat/>
    <w:rPr>
      <w:b w:val="false"/>
      <w:color w:val="000000"/>
      <w:sz w:val="22"/>
      <w:szCs w:val="24"/>
    </w:rPr>
  </w:style>
  <w:style w:type="character" w:styleId="WW8NumSt31z1">
    <w:name w:val="WW8NumSt31z1"/>
    <w:qFormat/>
    <w:rPr>
      <w:b w:val="false"/>
      <w:color w:val="000000"/>
      <w:sz w:val="22"/>
      <w:szCs w:val="24"/>
    </w:rPr>
  </w:style>
  <w:style w:type="character" w:styleId="WW8NumSt34z1">
    <w:name w:val="WW8NumSt34z1"/>
    <w:qFormat/>
    <w:rPr>
      <w:rFonts w:ascii="Arial" w:hAnsi="Arial" w:cs="Arial"/>
    </w:rPr>
  </w:style>
  <w:style w:type="character" w:styleId="WW8NumSt34z3">
    <w:name w:val="WW8NumSt34z3"/>
    <w:qFormat/>
    <w:rPr>
      <w:sz w:val="22"/>
    </w:rPr>
  </w:style>
  <w:style w:type="character" w:styleId="Fuentedeprrafopredeter1">
    <w:name w:val="Fuente de párrafo predeter.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8">
    <w:name w:val="WW8Num10z8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EncabezadoCar">
    <w:name w:val="Encabezado Car"/>
    <w:qFormat/>
    <w:rPr>
      <w:rFonts w:ascii="Times New Roman" w:hAnsi="Times New Roman" w:eastAsia="Calibri" w:cs="Times New Roman"/>
      <w:sz w:val="24"/>
      <w:szCs w:val="24"/>
      <w:lang w:val="es-ES"/>
    </w:rPr>
  </w:style>
  <w:style w:type="character" w:styleId="PiedepginaCar">
    <w:name w:val="Pie de página Car"/>
    <w:qFormat/>
    <w:rPr>
      <w:rFonts w:ascii="Times New Roman" w:hAnsi="Times New Roman" w:eastAsia="Calibri" w:cs="Times New Roman"/>
      <w:sz w:val="24"/>
      <w:szCs w:val="24"/>
      <w:lang w:val="es-ES"/>
    </w:rPr>
  </w:style>
  <w:style w:type="character" w:styleId="Refdecomentario1">
    <w:name w:val="Ref. de comentario1"/>
    <w:qFormat/>
    <w:rPr>
      <w:sz w:val="16"/>
      <w:szCs w:val="16"/>
    </w:rPr>
  </w:style>
  <w:style w:type="character" w:styleId="TextocomentarioCar">
    <w:name w:val="Texto comentario Car"/>
    <w:qFormat/>
    <w:rPr>
      <w:rFonts w:ascii="Times New Roman" w:hAnsi="Times New Roman" w:cs="Times New Roman"/>
      <w:lang w:val="es-ES"/>
    </w:rPr>
  </w:style>
  <w:style w:type="character" w:styleId="AsuntodelcomentarioCar">
    <w:name w:val="Asunto del comentario Car"/>
    <w:qFormat/>
    <w:rPr>
      <w:rFonts w:ascii="Times New Roman" w:hAnsi="Times New Roman" w:cs="Times New Roman"/>
      <w:b/>
      <w:bCs/>
      <w:lang w:val="es-ES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;Times New Roman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;Times New Roman"/>
    </w:rPr>
  </w:style>
  <w:style w:type="paragraph" w:styleId="Ttulo3">
    <w:name w:val="Título3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;Times New Roman" w:cs="FreeSans;Times New Roman"/>
      <w:sz w:val="28"/>
      <w:szCs w:val="28"/>
    </w:rPr>
  </w:style>
  <w:style w:type="paragraph" w:styleId="Standard">
    <w:name w:val="Standard"/>
    <w:qFormat/>
    <w:pPr>
      <w:widowControl/>
      <w:suppressAutoHyphens w:val="true"/>
      <w:bidi w:val="0"/>
      <w:textAlignment w:val="baseline"/>
    </w:pPr>
    <w:rPr>
      <w:rFonts w:ascii="Times New Roman" w:hAnsi="Times New Roman" w:eastAsia="Calibri" w:cs="Times New Roman"/>
      <w:color w:val="auto"/>
      <w:kern w:val="2"/>
      <w:sz w:val="24"/>
      <w:szCs w:val="24"/>
      <w:lang w:val="es-ES" w:eastAsia="zh-CN" w:bidi="ar-SA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;Times New Roman" w:cs="FreeSans;Times New Roman"/>
      <w:sz w:val="28"/>
      <w:szCs w:val="28"/>
    </w:rPr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;Times New Roman" w:cs="FreeSans;Times New Roman"/>
      <w:sz w:val="28"/>
      <w:szCs w:val="28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Heading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;Times New Roman" w:cs="FreeSans;Times New Roman"/>
      <w:sz w:val="28"/>
      <w:szCs w:val="28"/>
    </w:rPr>
  </w:style>
  <w:style w:type="paragraph" w:styleId="Epgrafe1">
    <w:name w:val="Epígrafe1"/>
    <w:basedOn w:val="Standard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FreeSans;Times New Roman"/>
      <w:sz w:val="24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Sinespaciado">
    <w:name w:val="Sin espaciado"/>
    <w:qFormat/>
    <w:pPr>
      <w:widowControl/>
      <w:suppressAutoHyphens w:val="true"/>
      <w:bidi w:val="0"/>
      <w:textAlignment w:val="baseline"/>
    </w:pPr>
    <w:rPr>
      <w:rFonts w:ascii="Times New Roman" w:hAnsi="Times New Roman" w:eastAsia="Calibri" w:cs="Times New Roman"/>
      <w:color w:val="auto"/>
      <w:kern w:val="2"/>
      <w:sz w:val="24"/>
      <w:szCs w:val="24"/>
      <w:lang w:val="es-ES" w:eastAsia="zh-CN" w:bidi="ar-SA"/>
    </w:rPr>
  </w:style>
  <w:style w:type="paragraph" w:styleId="Prrafodelista">
    <w:name w:val="Párrafo de lista"/>
    <w:basedOn w:val="Standard"/>
    <w:qFormat/>
    <w:pPr>
      <w:spacing w:before="0" w:after="0"/>
      <w:ind w:hanging="0" w:start="720" w:end="0"/>
    </w:pPr>
    <w:rPr>
      <w:rFonts w:eastAsia="Times New Roman"/>
      <w:lang w:val="es-ES"/>
    </w:rPr>
  </w:style>
  <w:style w:type="paragraph" w:styleId="NormalWeb">
    <w:name w:val="Normal (Web)"/>
    <w:basedOn w:val="Standard"/>
    <w:qFormat/>
    <w:pPr>
      <w:spacing w:lineRule="auto" w:line="288" w:before="280" w:after="142"/>
    </w:pPr>
    <w:rPr>
      <w:rFonts w:eastAsia="Times New Roman"/>
      <w:lang w:val="es-ES"/>
    </w:rPr>
  </w:style>
  <w:style w:type="paragraph" w:styleId="Textocomentario1">
    <w:name w:val="Texto comentario1"/>
    <w:basedOn w:val="Standard"/>
    <w:qFormat/>
    <w:pPr/>
    <w:rPr>
      <w:sz w:val="20"/>
      <w:szCs w:val="20"/>
    </w:rPr>
  </w:style>
  <w:style w:type="paragraph" w:styleId="Asuntodelcomentario">
    <w:name w:val="Asunto del comentario"/>
    <w:basedOn w:val="Textocomentario1"/>
    <w:next w:val="Textocomentario1"/>
    <w:qFormat/>
    <w:pPr/>
    <w:rPr>
      <w:b/>
      <w:bCs/>
    </w:rPr>
  </w:style>
  <w:style w:type="paragraph" w:styleId="Textodeglobo">
    <w:name w:val="Texto de globo"/>
    <w:basedOn w:val="Standard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LibreOffice/25.2.2.2$Linux_X86_64 LibreOffice_project/520$Build-2</Application>
  <AppVersion>15.0000</AppVersion>
  <Pages>7</Pages>
  <Words>1390</Words>
  <Characters>8196</Characters>
  <CharactersWithSpaces>9471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2022-04-08T12:35:00Z</dcterms:created>
  <dc:creator>Juan Carlos Pedreira Fernández</dc:creator>
  <dc:description/>
  <cp:keywords/>
  <dc:language>es-CU</dc:language>
  <cp:lastModifiedBy>Darlam Dalmau Palomino</cp:lastModifiedBy>
  <cp:lastPrinted>2025-05-15T18:09:00Z</cp:lastPrinted>
  <dcterms:modified xsi:type="dcterms:W3CDTF">2025-05-15T18:15:00Z</dcterms:modified>
  <cp:revision>23</cp:revision>
  <dc:subject/>
  <dc:title/>
</cp:coreProperties>
</file>