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Bdr>
          <w:top w:val="single" w:color="1F5140" w:sz="18" w:space="6"/>
        </w:pBdr>
        <w:spacing w:after="60" w:before="0"/>
      </w:pPr>
      <w:r>
        <w:rPr>
          <w:rFonts w:ascii="Cambria" w:cs="Cambria" w:eastAsia="Cambria" w:hAnsi="Cambria"/>
          <w:color w:val="4A5850"/>
          <w:spacing w:val="18"/>
          <w:sz w:val="15"/>
          <w:szCs w:val="15"/>
        </w:rPr>
        <w:t xml:space="preserve">MINUTA PARA DISCUSSÃO INTERNA  ·  VERSÃO 2.0  ·  NÃO ASSINADA</w:t>
      </w:r>
    </w:p>
    <w:p>
      <w:pPr>
        <w:spacing w:after="80" w:before="60"/>
      </w:pPr>
      <w:r>
        <w:rPr>
          <w:rFonts w:ascii="Cambria" w:cs="Cambria" w:eastAsia="Cambria" w:hAnsi="Cambria"/>
          <w:b/>
          <w:bCs/>
          <w:color w:val="141C17"/>
          <w:sz w:val="31"/>
          <w:szCs w:val="31"/>
        </w:rPr>
        <w:t xml:space="preserve">Distribuição de lucros por metas, não por prazo</w:t>
      </w:r>
    </w:p>
    <w:p>
      <w:pPr>
        <w:spacing w:after="30" w:before="0"/>
        <w:jc w:val="both"/>
      </w:pPr>
      <w:r>
        <w:rPr>
          <w:rFonts w:ascii="Cambria" w:cs="Cambria" w:eastAsia="Cambria" w:hAnsi="Cambria"/>
          <w:color w:val="4A5850"/>
          <w:sz w:val="18"/>
          <w:szCs w:val="18"/>
        </w:rPr>
        <w:t xml:space="preserve">Proposta de redação para uma cláusula do acordo de sócios da holding familiar: nenhum sócio retira lucro enquanto o grupo não estiver com dívida zero, caixa formado e a moradia da mãe garantida — sem prazo mínimo e sem prazo máximo. Os pais, usufrutuários, estão fora desta regra.</w:t>
      </w:r>
    </w:p>
    <w:p>
      <w:pPr>
        <w:pBdr>
          <w:bottom w:val="single" w:color="C3CDC5" w:sz="6" w:space="1"/>
        </w:pBdr>
        <w:spacing w:after="140" w:before="60"/>
      </w:pPr>
    </w:p>
    <w:p>
      <w:pPr>
        <w:keepNext/>
        <w:spacing w:after="60" w:before="150"/>
      </w:pPr>
      <w:r>
        <w:rPr>
          <w:rFonts w:ascii="Cambria" w:cs="Cambria" w:eastAsia="Cambria" w:hAnsi="Cambria"/>
          <w:b/>
          <w:bCs/>
          <w:color w:val="1F5140"/>
          <w:spacing w:val="22"/>
          <w:sz w:val="18"/>
          <w:szCs w:val="18"/>
        </w:rPr>
        <w:t xml:space="preserve">POR QUE META E NÃO PRAZO</w:t>
      </w:r>
    </w:p>
    <w:p>
      <w:pPr>
        <w:spacing w:after="60" w:before="0"/>
        <w:jc w:val="both"/>
      </w:pPr>
      <w:r>
        <w:rPr>
          <w:rFonts w:ascii="Cambria" w:cs="Cambria" w:eastAsia="Cambria" w:hAnsi="Cambria"/>
          <w:b/>
          <w:bCs/>
          <w:color w:val="141C17"/>
          <w:sz w:val="19"/>
          <w:szCs w:val="19"/>
        </w:rPr>
        <w:t xml:space="preserve">A trava por prazo desestimula o esforço. </w:t>
      </w:r>
      <w:r>
        <w:rPr>
          <w:rFonts w:ascii="Cambria" w:cs="Cambria" w:eastAsia="Cambria" w:hAnsi="Cambria"/>
          <w:color w:val="141C17"/>
          <w:sz w:val="19"/>
          <w:szCs w:val="19"/>
        </w:rPr>
        <w:t xml:space="preserve">Se todos sabem que nada será distribuído antes de cinco anos, o trabalho de hoje não muda nada, e a energia da família vai para projetos onde o retorno aparece antes — justamente o que a empresa não pode perder agora.</w:t>
      </w:r>
    </w:p>
    <w:p>
      <w:pPr>
        <w:spacing w:after="60" w:before="0"/>
        <w:jc w:val="both"/>
      </w:pPr>
      <w:r>
        <w:rPr>
          <w:rFonts w:ascii="Cambria" w:cs="Cambria" w:eastAsia="Cambria" w:hAnsi="Cambria"/>
          <w:b/>
          <w:bCs/>
          <w:color w:val="141C17"/>
          <w:sz w:val="19"/>
          <w:szCs w:val="19"/>
        </w:rPr>
        <w:t xml:space="preserve">A trava por meta é mais rigorosa, não mais frouxa. </w:t>
      </w:r>
      <w:r>
        <w:rPr>
          <w:rFonts w:ascii="Cambria" w:cs="Cambria" w:eastAsia="Cambria" w:hAnsi="Cambria"/>
          <w:color w:val="141C17"/>
          <w:sz w:val="19"/>
          <w:szCs w:val="19"/>
        </w:rPr>
        <w:t xml:space="preserve">Pela regra de prazo, no dia seguinte ao quinto ano abre-se a distribuição ainda que as dívidas estejam de pé e o caixa vazio. Pela regra de metas isso é impossível: enquanto houver dívida em aberto, ninguém retira — em cinco, sete ou dez anos.</w:t>
      </w:r>
    </w:p>
    <w:p>
      <w:pPr>
        <w:spacing w:after="60" w:before="0"/>
        <w:jc w:val="both"/>
      </w:pPr>
      <w:r>
        <w:rPr>
          <w:rFonts w:ascii="Cambria" w:cs="Cambria" w:eastAsia="Cambria" w:hAnsi="Cambria"/>
          <w:b/>
          <w:bCs/>
          <w:color w:val="141C17"/>
          <w:sz w:val="19"/>
          <w:szCs w:val="19"/>
        </w:rPr>
        <w:t xml:space="preserve">O prazo deixa de ser premissa e vira consequência. </w:t>
      </w:r>
      <w:r>
        <w:rPr>
          <w:rFonts w:ascii="Cambria" w:cs="Cambria" w:eastAsia="Cambria" w:hAnsi="Cambria"/>
          <w:color w:val="141C17"/>
          <w:sz w:val="19"/>
          <w:szCs w:val="19"/>
        </w:rPr>
        <w:t xml:space="preserve">Se levar cinco anos, o efeito prático terá sido idêntico ao da regra original. Se conseguir em três, a antecipação é o prêmio de quem trabalhou.</w:t>
      </w:r>
    </w:p>
    <w:p>
      <w:pPr>
        <w:spacing w:after="60" w:before="0"/>
        <w:jc w:val="both"/>
      </w:pPr>
      <w:r>
        <w:rPr>
          <w:rFonts w:ascii="Cambria" w:cs="Cambria" w:eastAsia="Cambria" w:hAnsi="Cambria"/>
          <w:b/>
          <w:bCs/>
          <w:color w:val="141C17"/>
          <w:sz w:val="19"/>
          <w:szCs w:val="19"/>
        </w:rPr>
        <w:t xml:space="preserve">A meta se audita; o prazo não mede nada. </w:t>
      </w:r>
      <w:r>
        <w:rPr>
          <w:rFonts w:ascii="Cambria" w:cs="Cambria" w:eastAsia="Cambria" w:hAnsi="Cambria"/>
          <w:color w:val="141C17"/>
          <w:sz w:val="19"/>
          <w:szCs w:val="19"/>
        </w:rPr>
        <w:t xml:space="preserve">Dívida zero, saldo em caixa e reserva são fatos verificáveis em balanço, certidão e ata — sem discussão futura sobre quem pode retirar o quê.</w:t>
      </w:r>
    </w:p>
    <w:p>
      <w:pPr>
        <w:keepNext/>
        <w:spacing w:after="60" w:before="150"/>
      </w:pPr>
      <w:r>
        <w:rPr>
          <w:rFonts w:ascii="Cambria" w:cs="Cambria" w:eastAsia="Cambria" w:hAnsi="Cambria"/>
          <w:b/>
          <w:bCs/>
          <w:color w:val="1F5140"/>
          <w:spacing w:val="22"/>
          <w:sz w:val="18"/>
          <w:szCs w:val="18"/>
        </w:rPr>
        <w:t xml:space="preserve">AS TRÊS METAS — CUMULATIVAS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80"/>
        <w:gridCol w:w="2620"/>
        <w:gridCol w:w="6540"/>
      </w:tblGrid>
      <w:tr>
        <w:tc>
          <w:tcPr>
            <w:tcW w:type="dxa" w:w="1080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/>
              <w:jc w:val="left"/>
            </w:pPr>
            <w:r>
              <w:rPr>
                <w:rFonts w:ascii="Cambria" w:cs="Cambria" w:eastAsia="Cambria" w:hAnsi="Cambria"/>
                <w:b/>
                <w:bCs/>
                <w:color w:val="1F5140"/>
                <w:sz w:val="18"/>
                <w:szCs w:val="18"/>
              </w:rPr>
              <w:t xml:space="preserve">META I</w:t>
            </w:r>
          </w:p>
        </w:tc>
        <w:tc>
          <w:tcPr>
            <w:tcW w:type="dxa" w:w="2620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20" w:before="0"/>
              <w:jc w:val="left"/>
            </w:pPr>
            <w:r>
              <w:rPr>
                <w:rFonts w:ascii="Cambria" w:cs="Cambria" w:eastAsia="Cambria" w:hAnsi="Cambria"/>
                <w:b/>
                <w:bCs/>
                <w:color w:val="141C17"/>
                <w:sz w:val="19"/>
                <w:szCs w:val="19"/>
              </w:rPr>
              <w:t xml:space="preserve">Dívida zero</w:t>
            </w:r>
          </w:p>
          <w:p>
            <w:pPr>
              <w:spacing w:after="0" w:before="0"/>
              <w:jc w:val="left"/>
            </w:pPr>
            <w:r>
              <w:rPr>
                <w:rFonts w:ascii="Cambria" w:cs="Cambria" w:eastAsia="Cambria" w:hAnsi="Cambria"/>
                <w:b/>
                <w:bCs/>
                <w:color w:val="1F5140"/>
                <w:sz w:val="19"/>
                <w:szCs w:val="19"/>
              </w:rPr>
              <w:t xml:space="preserve">100% do perímetro</w:t>
            </w:r>
          </w:p>
        </w:tc>
        <w:tc>
          <w:tcPr>
            <w:tcW w:type="dxa" w:w="6540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/>
              <w:jc w:val="both"/>
            </w:pPr>
            <w:r>
              <w:rPr>
                <w:rFonts w:ascii="Cambria" w:cs="Cambria" w:eastAsia="Cambria" w:hAnsi="Cambria"/>
                <w:color w:val="4A5850"/>
                <w:sz w:val="18"/>
                <w:szCs w:val="18"/>
              </w:rPr>
              <w:t xml:space="preserve">Saldo zero de tudo — financiamentos, empréstimos, fornecedores, tributos, multas, custas e emolumentos. Só não conta o adiantamento do loteador.</w:t>
            </w:r>
          </w:p>
        </w:tc>
      </w:tr>
      <w:tr>
        <w:tc>
          <w:tcPr>
            <w:tcW w:type="dxa" w:w="1080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/>
              <w:jc w:val="left"/>
            </w:pPr>
            <w:r>
              <w:rPr>
                <w:rFonts w:ascii="Cambria" w:cs="Cambria" w:eastAsia="Cambria" w:hAnsi="Cambria"/>
                <w:b/>
                <w:bCs/>
                <w:color w:val="1F5140"/>
                <w:sz w:val="18"/>
                <w:szCs w:val="18"/>
              </w:rPr>
              <w:t xml:space="preserve">META II</w:t>
            </w:r>
          </w:p>
        </w:tc>
        <w:tc>
          <w:tcPr>
            <w:tcW w:type="dxa" w:w="2620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20" w:before="0"/>
              <w:jc w:val="left"/>
            </w:pPr>
            <w:r>
              <w:rPr>
                <w:rFonts w:ascii="Cambria" w:cs="Cambria" w:eastAsia="Cambria" w:hAnsi="Cambria"/>
                <w:b/>
                <w:bCs/>
                <w:color w:val="141C17"/>
                <w:sz w:val="19"/>
                <w:szCs w:val="19"/>
              </w:rPr>
              <w:t xml:space="preserve">Caixa-pulmão</w:t>
            </w:r>
          </w:p>
          <w:p>
            <w:pPr>
              <w:spacing w:after="0" w:before="0"/>
              <w:jc w:val="left"/>
            </w:pPr>
            <w:r>
              <w:rPr>
                <w:rFonts w:ascii="Cambria" w:cs="Cambria" w:eastAsia="Cambria" w:hAnsi="Cambria"/>
                <w:b/>
                <w:bCs/>
                <w:color w:val="1F5140"/>
                <w:sz w:val="19"/>
                <w:szCs w:val="19"/>
              </w:rPr>
              <w:t xml:space="preserve">R$ 2.000.000,00</w:t>
            </w:r>
          </w:p>
        </w:tc>
        <w:tc>
          <w:tcPr>
            <w:tcW w:type="dxa" w:w="6540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/>
              <w:jc w:val="both"/>
            </w:pPr>
            <w:r>
              <w:rPr>
                <w:rFonts w:ascii="Cambria" w:cs="Cambria" w:eastAsia="Cambria" w:hAnsi="Cambria"/>
                <w:color w:val="4A5850"/>
                <w:sz w:val="18"/>
                <w:szCs w:val="18"/>
              </w:rPr>
              <w:t xml:space="preserve">Caixa livre consolidado, sustentado por dois balancetes consecutivos. Impede que a próxima parcela vire nova dívida.</w:t>
            </w:r>
          </w:p>
        </w:tc>
      </w:tr>
      <w:tr>
        <w:tc>
          <w:tcPr>
            <w:tcW w:type="dxa" w:w="1080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/>
              <w:jc w:val="left"/>
            </w:pPr>
            <w:r>
              <w:rPr>
                <w:rFonts w:ascii="Cambria" w:cs="Cambria" w:eastAsia="Cambria" w:hAnsi="Cambria"/>
                <w:b/>
                <w:bCs/>
                <w:color w:val="1F5140"/>
                <w:sz w:val="18"/>
                <w:szCs w:val="18"/>
              </w:rPr>
              <w:t xml:space="preserve">META III</w:t>
            </w:r>
          </w:p>
        </w:tc>
        <w:tc>
          <w:tcPr>
            <w:tcW w:type="dxa" w:w="2620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20" w:before="0"/>
              <w:jc w:val="left"/>
            </w:pPr>
            <w:r>
              <w:rPr>
                <w:rFonts w:ascii="Cambria" w:cs="Cambria" w:eastAsia="Cambria" w:hAnsi="Cambria"/>
                <w:b/>
                <w:bCs/>
                <w:color w:val="141C17"/>
                <w:sz w:val="19"/>
                <w:szCs w:val="19"/>
              </w:rPr>
              <w:t xml:space="preserve">Moradia da usufrutuária</w:t>
            </w:r>
          </w:p>
          <w:p>
            <w:pPr>
              <w:spacing w:after="0" w:before="0"/>
              <w:jc w:val="left"/>
            </w:pPr>
            <w:r>
              <w:rPr>
                <w:rFonts w:ascii="Cambria" w:cs="Cambria" w:eastAsia="Cambria" w:hAnsi="Cambria"/>
                <w:b/>
                <w:bCs/>
                <w:color w:val="1F5140"/>
                <w:sz w:val="19"/>
                <w:szCs w:val="19"/>
              </w:rPr>
              <w:t xml:space="preserve">R$ 1.600.000,00</w:t>
            </w:r>
          </w:p>
        </w:tc>
        <w:tc>
          <w:tcPr>
            <w:tcW w:type="dxa" w:w="6540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/>
              <w:jc w:val="both"/>
            </w:pPr>
            <w:r>
              <w:rPr>
                <w:rFonts w:ascii="Cambria" w:cs="Cambria" w:eastAsia="Cambria" w:hAnsi="Cambria"/>
                <w:color w:val="4A5850"/>
                <w:sz w:val="18"/>
                <w:szCs w:val="18"/>
              </w:rPr>
              <w:t xml:space="preserve">Reserva vinculada para o imóvel residencial da Sra. Elman, ou imóvel já adquirido. Vem antes de qualquer retirada dos filhos.</w:t>
            </w:r>
          </w:p>
        </w:tc>
      </w:tr>
    </w:tbl>
    <w:p>
      <w:pPr>
        <w:spacing w:after="0" w:before="110"/>
        <w:jc w:val="both"/>
      </w:pPr>
      <w:r>
        <w:rPr>
          <w:rFonts w:ascii="Cambria" w:cs="Cambria" w:eastAsia="Cambria" w:hAnsi="Cambria"/>
          <w:b/>
          <w:bCs/>
          <w:color w:val="141C17"/>
          <w:sz w:val="18"/>
          <w:szCs w:val="18"/>
        </w:rPr>
        <w:t xml:space="preserve">Quem está sujeito à regra: </w:t>
      </w:r>
      <w:r>
        <w:rPr>
          <w:rFonts w:ascii="Cambria" w:cs="Cambria" w:eastAsia="Cambria" w:hAnsi="Cambria"/>
          <w:color w:val="4A5850"/>
          <w:sz w:val="18"/>
          <w:szCs w:val="18"/>
        </w:rPr>
        <w:t xml:space="preserve">filhos, cotistas e sócios admitidos no futuro, inclusive colaboradores em partnership. </w:t>
      </w:r>
      <w:r>
        <w:rPr>
          <w:rFonts w:ascii="Cambria" w:cs="Cambria" w:eastAsia="Cambria" w:hAnsi="Cambria"/>
          <w:b/>
          <w:bCs/>
          <w:color w:val="4A5850"/>
          <w:sz w:val="18"/>
          <w:szCs w:val="18"/>
        </w:rPr>
        <w:t xml:space="preserve">Os usufrutuários Wilson e Elman estão fora: os frutos lhes pertencem por direito e seguem pagos integralmente, sem limite e sem condição.</w:t>
      </w:r>
    </w:p>
    <w:p>
      <w:pPr>
        <w:keepNext/>
        <w:spacing w:after="60" w:before="150"/>
      </w:pPr>
      <w:r>
        <w:rPr>
          <w:rFonts w:ascii="Cambria" w:cs="Cambria" w:eastAsia="Cambria" w:hAnsi="Cambria"/>
          <w:b/>
          <w:bCs/>
          <w:color w:val="1F5140"/>
          <w:spacing w:val="22"/>
          <w:sz w:val="18"/>
          <w:szCs w:val="18"/>
        </w:rPr>
        <w:t xml:space="preserve">MINUTA — CLÁUSULA [•]: DESTINAÇÃO DE RESULTADOS E METAS DE LIBERAÇÃO</w:t>
      </w:r>
    </w:p>
    <w:p>
      <w:pPr>
        <w:spacing w:after="60" w:before="0"/>
        <w:jc w:val="both"/>
      </w:pPr>
      <w:r>
        <w:rPr>
          <w:rFonts w:ascii="Cambria" w:cs="Cambria" w:eastAsia="Cambria" w:hAnsi="Cambria"/>
          <w:b/>
          <w:bCs/>
          <w:color w:val="141C17"/>
          <w:sz w:val="19"/>
          <w:szCs w:val="19"/>
        </w:rPr>
        <w:t xml:space="preserve">1. Princípio e alcance. </w:t>
      </w:r>
      <w:r>
        <w:rPr>
          <w:rFonts w:ascii="Cambria" w:cs="Cambria" w:eastAsia="Cambria" w:hAnsi="Cambria"/>
          <w:color w:val="141C17"/>
          <w:sz w:val="19"/>
          <w:szCs w:val="19"/>
        </w:rPr>
        <w:t xml:space="preserve">A distribuição de lucros, dividendos, juros sobre capital próprio ou qualquer outra forma de retorno do capital aos </w:t>
      </w:r>
      <w:r>
        <w:rPr>
          <w:rFonts w:ascii="Cambria" w:cs="Cambria" w:eastAsia="Cambria" w:hAnsi="Cambria"/>
          <w:b/>
          <w:bCs/>
          <w:color w:val="141C17"/>
          <w:sz w:val="19"/>
          <w:szCs w:val="19"/>
        </w:rPr>
        <w:t xml:space="preserve">Sócios Sujeitos à Retenção</w:t>
      </w:r>
      <w:r>
        <w:rPr>
          <w:rFonts w:ascii="Cambria" w:cs="Cambria" w:eastAsia="Cambria" w:hAnsi="Cambria"/>
          <w:color w:val="141C17"/>
          <w:sz w:val="19"/>
          <w:szCs w:val="19"/>
        </w:rPr>
        <w:t xml:space="preserve"> não é regida por prazo, mas pelo cumprimento cumulativo das três Metas do item 3. São Sócios Sujeitos à Retenção os filhos nu-proprietários, os demais cotistas e quaisquer sócios admitidos no futuro, inclusive colaboradores em regime de partnership. </w:t>
      </w:r>
      <w:r>
        <w:rPr>
          <w:rFonts w:ascii="Cambria" w:cs="Cambria" w:eastAsia="Cambria" w:hAnsi="Cambria"/>
          <w:b/>
          <w:bCs/>
          <w:color w:val="141C17"/>
          <w:sz w:val="19"/>
          <w:szCs w:val="19"/>
        </w:rPr>
        <w:t xml:space="preserve">Esta Cláusula não se aplica aos usufrutuários</w:t>
      </w:r>
      <w:r>
        <w:rPr>
          <w:rFonts w:ascii="Cambria" w:cs="Cambria" w:eastAsia="Cambria" w:hAnsi="Cambria"/>
          <w:color w:val="141C17"/>
          <w:sz w:val="19"/>
          <w:szCs w:val="19"/>
        </w:rPr>
        <w:t xml:space="preserve"> Wilson Grison e Elman M. Coelho Grison: os frutos das participações gravadas com usufruto lhes pertencem por direito próprio e são pagos integralmente, sem limite, prazo ou condição.</w:t>
      </w:r>
    </w:p>
    <w:p>
      <w:pPr>
        <w:spacing w:after="50" w:before="50"/>
        <w:jc w:val="both"/>
      </w:pPr>
      <w:r>
        <w:rPr>
          <w:rFonts w:ascii="Cambria" w:cs="Cambria" w:eastAsia="Cambria" w:hAnsi="Cambria"/>
          <w:b/>
          <w:bCs/>
          <w:color w:val="141C17"/>
          <w:sz w:val="19"/>
          <w:szCs w:val="19"/>
        </w:rPr>
        <w:t xml:space="preserve">2. Definições.</w:t>
      </w:r>
    </w:p>
    <w:p>
      <w:pPr>
        <w:spacing w:after="60" w:before="0"/>
        <w:ind w:left="200"/>
        <w:jc w:val="both"/>
      </w:pPr>
      <w:r>
        <w:rPr>
          <w:rFonts w:ascii="Cambria" w:cs="Cambria" w:eastAsia="Cambria" w:hAnsi="Cambria"/>
          <w:b/>
          <w:bCs/>
          <w:color w:val="141C17"/>
          <w:sz w:val="19"/>
          <w:szCs w:val="19"/>
        </w:rPr>
        <w:t xml:space="preserve">2.1  Perímetro de Endividamento do Grupo. </w:t>
      </w:r>
      <w:r>
        <w:rPr>
          <w:rFonts w:ascii="Cambria" w:cs="Cambria" w:eastAsia="Cambria" w:hAnsi="Cambria"/>
          <w:color w:val="141C17"/>
          <w:sz w:val="19"/>
          <w:szCs w:val="19"/>
        </w:rPr>
        <w:t xml:space="preserve">Todas as obrigações pecuniárias originadas nos negócios conduzidos, liderados ou orientados pelo Sr. Wilson Grison, </w:t>
      </w:r>
      <w:r>
        <w:rPr>
          <w:rFonts w:ascii="Cambria" w:cs="Cambria" w:eastAsia="Cambria" w:hAnsi="Cambria"/>
          <w:b/>
          <w:bCs/>
          <w:color w:val="141C17"/>
          <w:sz w:val="19"/>
          <w:szCs w:val="19"/>
        </w:rPr>
        <w:t xml:space="preserve">independentemente da pessoa em cujo nome tenham sido contraídas</w:t>
      </w:r>
      <w:r>
        <w:rPr>
          <w:rFonts w:ascii="Cambria" w:cs="Cambria" w:eastAsia="Cambria" w:hAnsi="Cambria"/>
          <w:color w:val="141C17"/>
          <w:sz w:val="19"/>
          <w:szCs w:val="19"/>
        </w:rPr>
        <w:t xml:space="preserve">, abrangendo financiamentos e empréstimos bancários, dívidas com fornecedores e prestadores de serviço, tributos de qualquer esfera, multas e autos de infração, custas e emolumentos cartorários, parcelamentos e transações, e obrigações decorrentes de garantias prestadas. Alcança as dívidas da Grison e Cia Ltda., as pessoais de Wilson e de Elman M. Coelho Grison como devedores, avalistas, fiadores ou coobrigados, e as das sociedades por eles constituídas, controladas ou dirigidas de fato, ainda que em nome de filhos, cônjuge ou terceiros — EMC Grison, Bioaçaí, ML Serviços Agrícolas, Natyrê, Tiúba 2 SPE e Patrimônio Digital. Obrigação não listada no Anexo I que se enquadre nesta definição integra o Perímetro.</w:t>
      </w:r>
    </w:p>
    <w:p>
      <w:pPr>
        <w:spacing w:after="60" w:before="0"/>
        <w:ind w:left="200"/>
        <w:jc w:val="both"/>
      </w:pPr>
      <w:r>
        <w:rPr>
          <w:rFonts w:ascii="Cambria" w:cs="Cambria" w:eastAsia="Cambria" w:hAnsi="Cambria"/>
          <w:b/>
          <w:bCs/>
          <w:color w:val="141C17"/>
          <w:sz w:val="19"/>
          <w:szCs w:val="19"/>
        </w:rPr>
        <w:t xml:space="preserve">2.2  Não integram o Perímetro </w:t>
      </w:r>
      <w:r>
        <w:rPr>
          <w:rFonts w:ascii="Cambria" w:cs="Cambria" w:eastAsia="Cambria" w:hAnsi="Cambria"/>
          <w:color w:val="141C17"/>
          <w:sz w:val="19"/>
          <w:szCs w:val="19"/>
        </w:rPr>
        <w:t xml:space="preserve">as dívidas estritamente particulares de qualquer sócio, sem relação com os negócios do grupo, pelas quais cada um responde por conta própria.</w:t>
      </w:r>
    </w:p>
    <w:p>
      <w:pPr>
        <w:spacing w:after="60" w:before="0"/>
        <w:ind w:left="200"/>
        <w:jc w:val="both"/>
      </w:pPr>
      <w:r>
        <w:rPr>
          <w:rFonts w:ascii="Cambria" w:cs="Cambria" w:eastAsia="Cambria" w:hAnsi="Cambria"/>
          <w:b/>
          <w:bCs/>
          <w:color w:val="141C17"/>
          <w:sz w:val="19"/>
          <w:szCs w:val="19"/>
        </w:rPr>
        <w:t xml:space="preserve">2.3  Adiantamento Santa Helena. </w:t>
      </w:r>
      <w:r>
        <w:rPr>
          <w:rFonts w:ascii="Cambria" w:cs="Cambria" w:eastAsia="Cambria" w:hAnsi="Cambria"/>
          <w:color w:val="141C17"/>
          <w:sz w:val="19"/>
          <w:szCs w:val="19"/>
        </w:rPr>
        <w:t xml:space="preserve">Valores antecipados pelo loteador parceiro por conta de resultados futuros da parceria, recompostos por retenção, pelo próprio loteador, dos repasses ao grupo. </w:t>
      </w:r>
      <w:r>
        <w:rPr>
          <w:rFonts w:ascii="Cambria" w:cs="Cambria" w:eastAsia="Cambria" w:hAnsi="Cambria"/>
          <w:b/>
          <w:bCs/>
          <w:color w:val="141C17"/>
          <w:sz w:val="19"/>
          <w:szCs w:val="19"/>
        </w:rPr>
        <w:t xml:space="preserve">Está expressamente excluído do Perímetro</w:t>
      </w:r>
      <w:r>
        <w:rPr>
          <w:rFonts w:ascii="Cambria" w:cs="Cambria" w:eastAsia="Cambria" w:hAnsi="Cambria"/>
          <w:color w:val="141C17"/>
          <w:sz w:val="19"/>
          <w:szCs w:val="19"/>
        </w:rPr>
        <w:t xml:space="preserve"> e não conta para a Meta I, por constituir obrigação de liquidação automática por compensação contratual, independente de desembolso ou de ato de gestão dos sócios. Consta do Anexo I apenas para informação.</w:t>
      </w:r>
    </w:p>
    <w:p>
      <w:pPr>
        <w:spacing w:after="60" w:before="0"/>
        <w:ind w:left="200"/>
        <w:jc w:val="both"/>
      </w:pPr>
      <w:r>
        <w:rPr>
          <w:rFonts w:ascii="Cambria" w:cs="Cambria" w:eastAsia="Cambria" w:hAnsi="Cambria"/>
          <w:b/>
          <w:bCs/>
          <w:color w:val="141C17"/>
          <w:sz w:val="19"/>
          <w:szCs w:val="19"/>
        </w:rPr>
        <w:t xml:space="preserve">2.4  Dívida Quitada. </w:t>
      </w:r>
      <w:r>
        <w:rPr>
          <w:rFonts w:ascii="Cambria" w:cs="Cambria" w:eastAsia="Cambria" w:hAnsi="Cambria"/>
          <w:color w:val="141C17"/>
          <w:sz w:val="19"/>
          <w:szCs w:val="19"/>
        </w:rPr>
        <w:t xml:space="preserve">Aquela cujo saldo é zero e cuja exigibilidade se extinguiu em face de todos os coobrigados — por pagamento, deságio, transação, novação, decisão transitada em julgado, prescrição ou assunção liberatória com exoneração dos garantidores. É indiferente o valor desembolsado, mas </w:t>
      </w:r>
      <w:r>
        <w:rPr>
          <w:rFonts w:ascii="Cambria" w:cs="Cambria" w:eastAsia="Cambria" w:hAnsi="Cambria"/>
          <w:b/>
          <w:bCs/>
          <w:color w:val="141C17"/>
          <w:sz w:val="19"/>
          <w:szCs w:val="19"/>
        </w:rPr>
        <w:t xml:space="preserve">parcelamento em curso, ainda que rigorosamente adimplente, não é dívida quitada</w:t>
      </w:r>
      <w:r>
        <w:rPr>
          <w:rFonts w:ascii="Cambria" w:cs="Cambria" w:eastAsia="Cambria" w:hAnsi="Cambria"/>
          <w:color w:val="141C17"/>
          <w:sz w:val="19"/>
          <w:szCs w:val="19"/>
        </w:rPr>
        <w:t xml:space="preserve">.</w:t>
      </w:r>
    </w:p>
    <w:p>
      <w:pPr>
        <w:spacing w:after="60" w:before="0"/>
        <w:ind w:left="200"/>
        <w:jc w:val="both"/>
      </w:pPr>
      <w:r>
        <w:rPr>
          <w:rFonts w:ascii="Cambria" w:cs="Cambria" w:eastAsia="Cambria" w:hAnsi="Cambria"/>
          <w:b/>
          <w:bCs/>
          <w:color w:val="141C17"/>
          <w:sz w:val="19"/>
          <w:szCs w:val="19"/>
        </w:rPr>
        <w:t xml:space="preserve">2.5  Caixa Mínimo. </w:t>
      </w:r>
      <w:r>
        <w:rPr>
          <w:rFonts w:ascii="Cambria" w:cs="Cambria" w:eastAsia="Cambria" w:hAnsi="Cambria"/>
          <w:color w:val="141C17"/>
          <w:sz w:val="19"/>
          <w:szCs w:val="19"/>
        </w:rPr>
        <w:t xml:space="preserve">Caixa e equivalentes de livre movimentação da Companhia e controladas, excluídos os recursos vinculados à Meta III, os de terceiros e os valores bloqueados ou de destinação vinculada.</w:t>
      </w:r>
    </w:p>
    <w:p>
      <w:pPr>
        <w:spacing w:after="60" w:before="50"/>
        <w:jc w:val="both"/>
      </w:pPr>
      <w:r>
        <w:rPr>
          <w:rFonts w:ascii="Cambria" w:cs="Cambria" w:eastAsia="Cambria" w:hAnsi="Cambria"/>
          <w:b/>
          <w:bCs/>
          <w:color w:val="141C17"/>
          <w:sz w:val="19"/>
          <w:szCs w:val="19"/>
        </w:rPr>
        <w:t xml:space="preserve">3. As Metas — cumulativas e não fracionáveis. </w:t>
      </w:r>
      <w:r>
        <w:rPr>
          <w:rFonts w:ascii="Cambria" w:cs="Cambria" w:eastAsia="Cambria" w:hAnsi="Cambria"/>
          <w:color w:val="141C17"/>
          <w:sz w:val="19"/>
          <w:szCs w:val="19"/>
        </w:rPr>
        <w:t xml:space="preserve">(I) </w:t>
      </w:r>
      <w:r>
        <w:rPr>
          <w:rFonts w:ascii="Cambria" w:cs="Cambria" w:eastAsia="Cambria" w:hAnsi="Cambria"/>
          <w:b/>
          <w:bCs/>
          <w:color w:val="141C17"/>
          <w:sz w:val="19"/>
          <w:szCs w:val="19"/>
        </w:rPr>
        <w:t xml:space="preserve">Dívida zero</w:t>
      </w:r>
      <w:r>
        <w:rPr>
          <w:rFonts w:ascii="Cambria" w:cs="Cambria" w:eastAsia="Cambria" w:hAnsi="Cambria"/>
          <w:color w:val="141C17"/>
          <w:sz w:val="19"/>
          <w:szCs w:val="19"/>
        </w:rPr>
        <w:t xml:space="preserve">: saldo zero de 100% das obrigações do Perímetro, ressalvado o Adiantamento Santa Helena; (II) Caixa Mínimo igual ou superior a R$ 2.000.000,00, mantido por dois balancetes mensais consecutivos; (III) Reserva Moradia igual ou superior a R$ 1.600.000,00 destinada ao imóvel residencial da Sra. Elman, ou imóvel já adquirido e quitado. Os valores das Metas II e III são corrigidos anualmente pelo IPCA. O cumprimento parcial, ainda que de duas Metas, não autoriza distribuição parcial, proporcional ou antecipada.</w:t>
      </w:r>
    </w:p>
    <w:p>
      <w:pPr>
        <w:spacing w:after="60" w:before="0"/>
        <w:ind w:left="200"/>
        <w:jc w:val="both"/>
      </w:pPr>
      <w:r>
        <w:rPr>
          <w:rFonts w:ascii="Cambria" w:cs="Cambria" w:eastAsia="Cambria" w:hAnsi="Cambria"/>
          <w:b/>
          <w:bCs/>
          <w:color w:val="141C17"/>
          <w:sz w:val="19"/>
          <w:szCs w:val="19"/>
        </w:rPr>
        <w:t xml:space="preserve">3.1  Comprovação objetiva da Meta I. </w:t>
      </w:r>
      <w:r>
        <w:rPr>
          <w:rFonts w:ascii="Cambria" w:cs="Cambria" w:eastAsia="Cambria" w:hAnsi="Cambria"/>
          <w:color w:val="141C17"/>
          <w:sz w:val="19"/>
          <w:szCs w:val="19"/>
        </w:rPr>
        <w:t xml:space="preserve">A Meta I só se tem por cumprida mediante, cumulativamente: certidões negativas — ou positivas com efeito de negativas — federais, estaduais e municipais da Grison e Cia Ltda. e das demais pessoas do Perímetro; ausência de protesto; ausência de anotação restritiva em Serasa, SPC ou equivalente relativa a obrigação do Perímetro; e baixa dos gravames que as garantiam. Anotação decorrente de dívida particular de sócio não impede o cumprimento da Meta.</w:t>
      </w:r>
    </w:p>
    <w:p>
      <w:pPr>
        <w:spacing w:after="60" w:before="0"/>
        <w:jc w:val="both"/>
      </w:pPr>
      <w:r>
        <w:rPr>
          <w:rFonts w:ascii="Cambria" w:cs="Cambria" w:eastAsia="Cambria" w:hAnsi="Cambria"/>
          <w:b/>
          <w:bCs/>
          <w:color w:val="141C17"/>
          <w:sz w:val="19"/>
          <w:szCs w:val="19"/>
        </w:rPr>
        <w:t xml:space="preserve">4. Retenção. </w:t>
      </w:r>
      <w:r>
        <w:rPr>
          <w:rFonts w:ascii="Cambria" w:cs="Cambria" w:eastAsia="Cambria" w:hAnsi="Cambria"/>
          <w:color w:val="141C17"/>
          <w:sz w:val="19"/>
          <w:szCs w:val="19"/>
        </w:rPr>
        <w:t xml:space="preserve">Até a Data de Liberação é vedada aos Sócios Sujeitos à Retenção qualquer distribuição de lucros, dividendos, juros sobre capital próprio, redução de capital com restituição, resgate ou reembolso, ressalvado o item 5. Os lucros que lhes caberiam são destinados a reserva fundamentada em orçamento de capital aprovado anualmente em Assembleia (art. 196 da Lei 6.404/76), obrigando-se eles a votar favoravelmente a essa destinação; o Estatuto fixará o dividendo obrigatório em percentual compatível com esta Cláusula (art. 202). A retenção não alcança os frutos devidos aos usufrutuários, pagos normalmente.</w:t>
      </w:r>
    </w:p>
    <w:p>
      <w:pPr>
        <w:spacing w:after="60" w:before="0"/>
        <w:jc w:val="both"/>
      </w:pPr>
      <w:r>
        <w:rPr>
          <w:rFonts w:ascii="Cambria" w:cs="Cambria" w:eastAsia="Cambria" w:hAnsi="Cambria"/>
          <w:b/>
          <w:bCs/>
          <w:color w:val="141C17"/>
          <w:sz w:val="19"/>
          <w:szCs w:val="19"/>
        </w:rPr>
        <w:t xml:space="preserve">5. Exceções. </w:t>
      </w:r>
      <w:r>
        <w:rPr>
          <w:rFonts w:ascii="Cambria" w:cs="Cambria" w:eastAsia="Cambria" w:hAnsi="Cambria"/>
          <w:color w:val="141C17"/>
          <w:sz w:val="19"/>
          <w:szCs w:val="19"/>
        </w:rPr>
        <w:t xml:space="preserve">Não configuram distribuição vedada: (a) as parcelas do ITCMD da doação e os custos dos atos societários e registrais correlatos; (b) o pró-labore, em valor de mercado e aprovado em Assembleia, dos sócios que exerçam função na Companhia ou em suas controladas; (c) o reembolso de despesas comprovadas no interesse da Companhia; (d) a devolução de mútuo formalizado com juros de mercado e encargos recolhidos. Os valores de (b) constam do Anexo II e sua majoração não pode ter por efeito substituir a distribuição vedada.</w:t>
      </w:r>
    </w:p>
    <w:p>
      <w:pPr>
        <w:spacing w:after="60" w:before="0"/>
        <w:jc w:val="both"/>
      </w:pPr>
      <w:r>
        <w:rPr>
          <w:rFonts w:ascii="Cambria" w:cs="Cambria" w:eastAsia="Cambria" w:hAnsi="Cambria"/>
          <w:b/>
          <w:bCs/>
          <w:color w:val="141C17"/>
          <w:sz w:val="19"/>
          <w:szCs w:val="19"/>
        </w:rPr>
        <w:t xml:space="preserve">6. Vedação à distribuição disfarçada. </w:t>
      </w:r>
      <w:r>
        <w:rPr>
          <w:rFonts w:ascii="Cambria" w:cs="Cambria" w:eastAsia="Cambria" w:hAnsi="Cambria"/>
          <w:color w:val="141C17"/>
          <w:sz w:val="19"/>
          <w:szCs w:val="19"/>
        </w:rPr>
        <w:t xml:space="preserve">Durante a retenção é vedado o pagamento de despesas pessoais de Sócio Sujeito à Retenção pela Companhia ou controladas, o mútuo a sócio ou parte relacionada sem contrato e juros de mercado, a contratação fora de mercado, o uso de bem social sem contrapartida e o desvio de oportunidade de negócio. As sociedades manterão contabilidades segregadas e contratos escritos entre si. A violação obriga à restituição integral e corrigida.</w:t>
      </w:r>
    </w:p>
    <w:p>
      <w:pPr>
        <w:spacing w:after="60" w:before="0"/>
        <w:jc w:val="both"/>
      </w:pPr>
      <w:r>
        <w:rPr>
          <w:rFonts w:ascii="Cambria" w:cs="Cambria" w:eastAsia="Cambria" w:hAnsi="Cambria"/>
          <w:b/>
          <w:bCs/>
          <w:color w:val="141C17"/>
          <w:sz w:val="19"/>
          <w:szCs w:val="19"/>
        </w:rPr>
        <w:t xml:space="preserve">7. Verificação. </w:t>
      </w:r>
      <w:r>
        <w:rPr>
          <w:rFonts w:ascii="Cambria" w:cs="Cambria" w:eastAsia="Cambria" w:hAnsi="Cambria"/>
          <w:color w:val="141C17"/>
          <w:sz w:val="19"/>
          <w:szCs w:val="19"/>
        </w:rPr>
        <w:t xml:space="preserve">A administração apresenta Relatório de Progresso das Metas semestralmente. Entendendo-as cumpridas, convoca Assembleia instruída com balancete de até 30 dias, declaração do contador, comprovação da extinção de cada obrigação e as certidões e consultas do item 3.1, que declara em ata a Data de Liberação. Qualquer sócio pode requerer, às suas expensas, verificação independente.</w:t>
      </w:r>
    </w:p>
    <w:p>
      <w:pPr>
        <w:spacing w:after="60" w:before="0"/>
        <w:jc w:val="both"/>
      </w:pPr>
      <w:r>
        <w:rPr>
          <w:rFonts w:ascii="Cambria" w:cs="Cambria" w:eastAsia="Cambria" w:hAnsi="Cambria"/>
          <w:b/>
          <w:bCs/>
          <w:color w:val="141C17"/>
          <w:sz w:val="19"/>
          <w:szCs w:val="19"/>
        </w:rPr>
        <w:t xml:space="preserve">8. Efeitos e restabelecimento da trava. </w:t>
      </w:r>
      <w:r>
        <w:rPr>
          <w:rFonts w:ascii="Cambria" w:cs="Cambria" w:eastAsia="Cambria" w:hAnsi="Cambria"/>
          <w:color w:val="141C17"/>
          <w:sz w:val="19"/>
          <w:szCs w:val="19"/>
        </w:rPr>
        <w:t xml:space="preserve">Aberta a distribuição, ela não pode reduzir o Caixa Mínimo abaixo do valor da Meta II — que deixa de ser meta e passa a ser piso permanente — e a Reserva Moradia segue indisponível até a aquisição. A distribuição fica automaticamente suspensa se for revelada obrigação do Perímetro anterior à declaração e dela não constante, ou se o caixa cair abaixo do piso.</w:t>
      </w:r>
    </w:p>
    <w:p>
      <w:pPr>
        <w:spacing w:after="60" w:before="0"/>
        <w:jc w:val="both"/>
      </w:pPr>
      <w:r>
        <w:rPr>
          <w:rFonts w:ascii="Cambria" w:cs="Cambria" w:eastAsia="Cambria" w:hAnsi="Cambria"/>
          <w:b/>
          <w:bCs/>
          <w:color w:val="141C17"/>
          <w:sz w:val="19"/>
          <w:szCs w:val="19"/>
        </w:rPr>
        <w:t xml:space="preserve">9. Ausência de prazo. </w:t>
      </w:r>
      <w:r>
        <w:rPr>
          <w:rFonts w:ascii="Cambria" w:cs="Cambria" w:eastAsia="Cambria" w:hAnsi="Cambria"/>
          <w:color w:val="141C17"/>
          <w:sz w:val="19"/>
          <w:szCs w:val="19"/>
        </w:rPr>
        <w:t xml:space="preserve">Não há prazo mínimo nem máximo, e nenhum decurso de tempo produz liberação automática. Decorridos 60 meses sem cumprimento integral, a Assembleia revisa o plano de execução e o cronograma; a revisão não flexibiliza nem dispensa as Metas, o que dependerá de deliberação específica pelo quórum de alteração do Acordo.</w:t>
      </w:r>
    </w:p>
    <w:p>
      <w:pPr>
        <w:spacing w:after="60" w:before="0"/>
        <w:jc w:val="both"/>
      </w:pPr>
      <w:r>
        <w:rPr>
          <w:rFonts w:ascii="Cambria" w:cs="Cambria" w:eastAsia="Cambria" w:hAnsi="Cambria"/>
          <w:b/>
          <w:bCs/>
          <w:color w:val="141C17"/>
          <w:sz w:val="19"/>
          <w:szCs w:val="19"/>
        </w:rPr>
        <w:t xml:space="preserve">Anexos. </w:t>
      </w:r>
      <w:r>
        <w:rPr>
          <w:rFonts w:ascii="Cambria" w:cs="Cambria" w:eastAsia="Cambria" w:hAnsi="Cambria"/>
          <w:color w:val="141C17"/>
          <w:sz w:val="19"/>
          <w:szCs w:val="19"/>
        </w:rPr>
        <w:t xml:space="preserve">I — Mapa de Dívidas do Perímetro (credor, natureza, situação processual, garantias, coobrigados e status), com o Adiantamento Santa Helena destacado como item excluído. II — Pró-labore aprovado.</w:t>
      </w:r>
    </w:p>
    <w:p>
      <w:pPr>
        <w:keepNext/>
        <w:spacing w:after="60" w:before="150"/>
      </w:pPr>
      <w:r>
        <w:rPr>
          <w:rFonts w:ascii="Cambria" w:cs="Cambria" w:eastAsia="Cambria" w:hAnsi="Cambria"/>
          <w:b/>
          <w:bCs/>
          <w:color w:val="1F5140"/>
          <w:spacing w:val="22"/>
          <w:sz w:val="18"/>
          <w:szCs w:val="18"/>
        </w:rPr>
        <w:t xml:space="preserve">DOIS PONTOS PARA O ADVOGADO ANTES DE FECHAR</w:t>
      </w:r>
    </w:p>
    <w:p>
      <w:pPr>
        <w:spacing w:after="60" w:before="0"/>
        <w:ind w:left="200"/>
        <w:jc w:val="both"/>
      </w:pPr>
      <w:r>
        <w:rPr>
          <w:rFonts w:ascii="Cambria" w:cs="Cambria" w:eastAsia="Cambria" w:hAnsi="Cambria"/>
          <w:b/>
          <w:bCs/>
          <w:color w:val="141C17"/>
          <w:sz w:val="19"/>
          <w:szCs w:val="19"/>
        </w:rPr>
        <w:t xml:space="preserve">1.  Parcelamento fiscal e a Meta I. </w:t>
      </w:r>
      <w:r>
        <w:rPr>
          <w:rFonts w:ascii="Cambria" w:cs="Cambria" w:eastAsia="Cambria" w:hAnsi="Cambria"/>
          <w:color w:val="141C17"/>
          <w:sz w:val="19"/>
          <w:szCs w:val="19"/>
        </w:rPr>
        <w:t xml:space="preserve">Como parcelamento em curso não conta como quitado (item 2.4), uma eventual adesão à transação da PGFN em 120 meses adia a Meta I até a quitação do saldo, mesmo com certidão limpa e sem restrição cadastral. É consequência assumida da regra de dívida zero — vale confirmar se é o efeito desejado.</w:t>
      </w:r>
    </w:p>
    <w:p>
      <w:pPr>
        <w:spacing w:after="60" w:before="0"/>
        <w:ind w:left="200"/>
        <w:jc w:val="both"/>
      </w:pPr>
      <w:r>
        <w:rPr>
          <w:rFonts w:ascii="Cambria" w:cs="Cambria" w:eastAsia="Cambria" w:hAnsi="Cambria"/>
          <w:b/>
          <w:bCs/>
          <w:color w:val="141C17"/>
          <w:sz w:val="19"/>
          <w:szCs w:val="19"/>
        </w:rPr>
        <w:t xml:space="preserve">2.  Mecanismo de retenção seletiva. </w:t>
      </w:r>
      <w:r>
        <w:rPr>
          <w:rFonts w:ascii="Cambria" w:cs="Cambria" w:eastAsia="Cambria" w:hAnsi="Cambria"/>
          <w:color w:val="141C17"/>
          <w:sz w:val="19"/>
          <w:szCs w:val="19"/>
        </w:rPr>
        <w:t xml:space="preserve">Reter o lucro de alguns sócios e pagar os frutos aos usufrutuários exige base estatutária: dividendo obrigatório compatível, reserva com orçamento de capital e obrigação de voto no acordo — ou classes distintas de ações para os sócios em partnership. Definir com o advogado.</w:t>
      </w:r>
    </w:p>
    <w:sectPr>
      <w:footerReference w:type="default" r:id="rId7"/>
      <w:pgSz w:w="12240" w:h="15840" w:orient="portrait"/>
      <w:pgMar w:top="960" w:right="1000" w:bottom="860" w:left="1000" w:header="708" w:footer="420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3CDC5" w:sz="6" w:space="6"/>
      </w:pBdr>
      <w:spacing w:after="0" w:before="0"/>
    </w:pPr>
    <w:r>
      <w:rPr>
        <w:rFonts w:ascii="Cambria" w:cs="Cambria" w:eastAsia="Cambria" w:hAnsi="Cambria"/>
        <w:i/>
        <w:iCs/>
        <w:color w:val="4A5850"/>
        <w:sz w:val="15"/>
        <w:szCs w:val="15"/>
      </w:rPr>
      <w:t xml:space="preserve">Documento de trabalho para discussão familiar. Não constitui parecer jurídico e não substitui a análise do advogado da família e do tributarista, que devem validar a redação antes de qualquer assinatura.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Distribuicao de lucros por metas</dc:title>
  <dc:creator>Grupo Grison</dc:creator>
  <cp:lastModifiedBy>Un-named</cp:lastModifiedBy>
  <cp:revision>1</cp:revision>
  <dcterms:created xsi:type="dcterms:W3CDTF">2026-08-18T13:30:29.252Z</dcterms:created>
  <dcterms:modified xsi:type="dcterms:W3CDTF">2026-08-18T13:30:29.252Z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