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5140" w:sz="18" w:space="6"/>
        </w:pBdr>
        <w:spacing w:after="60" w:before="0"/>
      </w:pPr>
      <w:r>
        <w:rPr>
          <w:rFonts w:ascii="Cambria" w:cs="Cambria" w:eastAsia="Cambria" w:hAnsi="Cambria"/>
          <w:color w:val="4A5850"/>
          <w:spacing w:val="18"/>
          <w:sz w:val="15"/>
          <w:szCs w:val="15"/>
        </w:rPr>
        <w:t xml:space="preserve">MINUTA PARA DISCUSSÃO INTERNA  ·  VERSÃO 1.0  ·  NÃO ASSINADA</w:t>
      </w:r>
    </w:p>
    <w:p>
      <w:pPr>
        <w:spacing w:after="80" w:before="60"/>
      </w:pPr>
      <w:r>
        <w:rPr>
          <w:rFonts w:ascii="Cambria" w:cs="Cambria" w:eastAsia="Cambria" w:hAnsi="Cambria"/>
          <w:b/>
          <w:bCs/>
          <w:color w:val="141C17"/>
          <w:sz w:val="31"/>
          <w:szCs w:val="31"/>
        </w:rPr>
        <w:t xml:space="preserve">Distribuição de lucros por metas, não por prazo</w:t>
      </w:r>
    </w:p>
    <w:p>
      <w:pPr>
        <w:spacing w:after="30" w:before="0"/>
        <w:jc w:val="both"/>
      </w:pPr>
      <w:r>
        <w:rPr>
          <w:rFonts w:ascii="Cambria" w:cs="Cambria" w:eastAsia="Cambria" w:hAnsi="Cambria"/>
          <w:color w:val="4A5850"/>
          <w:sz w:val="18"/>
          <w:szCs w:val="18"/>
        </w:rPr>
        <w:t xml:space="preserve">Proposta de redação para uma cláusula do acordo de sócios da holding familiar: nenhum filho retira lucro enquanto as dívidas do grupo não estiverem quitadas, o caixa formado e a moradia da mãe garantida — sem prazo mínimo e sem prazo máximo. Escopo limitado à destinação de resultados.</w:t>
      </w:r>
    </w:p>
    <w:p>
      <w:pPr>
        <w:pBdr>
          <w:bottom w:val="single" w:color="C3CDC5" w:sz="6" w:space="1"/>
        </w:pBdr>
        <w:spacing w:after="140" w:before="60"/>
      </w:pPr>
    </w:p>
    <w:p>
      <w:pPr>
        <w:keepNext/>
        <w:spacing w:after="60" w:before="150"/>
      </w:pPr>
      <w:r>
        <w:rPr>
          <w:rFonts w:ascii="Cambria" w:cs="Cambria" w:eastAsia="Cambria" w:hAnsi="Cambria"/>
          <w:b/>
          <w:bCs/>
          <w:color w:val="1F5140"/>
          <w:spacing w:val="22"/>
          <w:sz w:val="18"/>
          <w:szCs w:val="18"/>
        </w:rPr>
        <w:t xml:space="preserve">POR QUE META E NÃO PRAZO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A trava por prazo desestimula o esforço.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Se todos sabem que nada será distribuído antes de cinco anos, o trabalho de hoje não muda nada, e a energia da família vai para projetos onde o retorno aparece antes — justamente o que a empresa não pode perder agora.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A trava por meta é mais rigorosa, não mais frouxa.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Pela regra de prazo, no dia seguinte ao quinto ano abre-se a distribuição ainda que as dívidas estejam de pé e o caixa vazio. Pela regra de metas isso é impossível: enquanto houver dívida em aberto, ninguém retira — em cinco, sete ou dez anos.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O prazo deixa de ser premissa e vira consequência.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Se levar cinco anos, o efeito prático terá sido idêntico ao da regra original. Se conseguir em três, a antecipação é o prêmio de quem trabalhou.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A meta se audita; o prazo não mede nada.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Dívida quitada, saldo em caixa e reserva são fatos verificáveis em balanço, com certidão e ata — sem discussão futura sobre quem pode retirar o quê.</w:t>
      </w:r>
    </w:p>
    <w:p>
      <w:pPr>
        <w:keepNext/>
        <w:spacing w:after="60" w:before="150"/>
      </w:pPr>
      <w:r>
        <w:rPr>
          <w:rFonts w:ascii="Cambria" w:cs="Cambria" w:eastAsia="Cambria" w:hAnsi="Cambria"/>
          <w:b/>
          <w:bCs/>
          <w:color w:val="1F5140"/>
          <w:spacing w:val="22"/>
          <w:sz w:val="18"/>
          <w:szCs w:val="18"/>
        </w:rPr>
        <w:t xml:space="preserve">AS TRÊS METAS — CUMULATIVAS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620"/>
        <w:gridCol w:w="6540"/>
      </w:tblGrid>
      <w:tr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F5140"/>
                <w:sz w:val="18"/>
                <w:szCs w:val="18"/>
              </w:rPr>
              <w:t xml:space="preserve">META I</w:t>
            </w:r>
          </w:p>
        </w:tc>
        <w:tc>
          <w:tcPr>
            <w:tcW w:type="dxa" w:w="2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41C17"/>
                <w:sz w:val="19"/>
                <w:szCs w:val="19"/>
              </w:rPr>
              <w:t xml:space="preserve">Extinção do perímetro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F5140"/>
                <w:sz w:val="19"/>
                <w:szCs w:val="19"/>
              </w:rPr>
              <w:t xml:space="preserve">100% das dívidas</w:t>
            </w:r>
          </w:p>
        </w:tc>
        <w:tc>
          <w:tcPr>
            <w:tcW w:type="dxa" w:w="6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  <w:jc w:val="both"/>
            </w:pPr>
            <w:r>
              <w:rPr>
                <w:rFonts w:ascii="Cambria" w:cs="Cambria" w:eastAsia="Cambria" w:hAnsi="Cambria"/>
                <w:color w:val="4A5850"/>
                <w:sz w:val="19"/>
                <w:szCs w:val="19"/>
              </w:rPr>
              <w:t xml:space="preserve">Originadas nos negócios conduzidos pelo patriarca — em nome da Grison e Cia, das pessoas físicas ou das satélites, seja qual for o nome no contrato.</w:t>
            </w:r>
          </w:p>
        </w:tc>
      </w:tr>
      <w:tr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F5140"/>
                <w:sz w:val="18"/>
                <w:szCs w:val="18"/>
              </w:rPr>
              <w:t xml:space="preserve">META II</w:t>
            </w:r>
          </w:p>
        </w:tc>
        <w:tc>
          <w:tcPr>
            <w:tcW w:type="dxa" w:w="2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41C17"/>
                <w:sz w:val="19"/>
                <w:szCs w:val="19"/>
              </w:rPr>
              <w:t xml:space="preserve">Caixa-pulmão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F5140"/>
                <w:sz w:val="19"/>
                <w:szCs w:val="19"/>
              </w:rPr>
              <w:t xml:space="preserve">R$ 2.000.000,00</w:t>
            </w:r>
          </w:p>
        </w:tc>
        <w:tc>
          <w:tcPr>
            <w:tcW w:type="dxa" w:w="6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  <w:jc w:val="both"/>
            </w:pPr>
            <w:r>
              <w:rPr>
                <w:rFonts w:ascii="Cambria" w:cs="Cambria" w:eastAsia="Cambria" w:hAnsi="Cambria"/>
                <w:color w:val="4A5850"/>
                <w:sz w:val="19"/>
                <w:szCs w:val="19"/>
              </w:rPr>
              <w:t xml:space="preserve">Caixa livre consolidado, sustentado por dois balancetes consecutivos. Impede que a próxima parcela ou multa vire nova dívida.</w:t>
            </w:r>
          </w:p>
        </w:tc>
      </w:tr>
      <w:tr>
        <w:tc>
          <w:tcPr>
            <w:tcW w:type="dxa" w:w="10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F5140"/>
                <w:sz w:val="18"/>
                <w:szCs w:val="18"/>
              </w:rPr>
              <w:t xml:space="preserve">META III</w:t>
            </w:r>
          </w:p>
        </w:tc>
        <w:tc>
          <w:tcPr>
            <w:tcW w:type="dxa" w:w="262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2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41C17"/>
                <w:sz w:val="19"/>
                <w:szCs w:val="19"/>
              </w:rPr>
              <w:t xml:space="preserve">Moradia da usufrutuária</w:t>
            </w:r>
          </w:p>
          <w:p>
            <w:pPr>
              <w:spacing w:after="0" w:before="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1F5140"/>
                <w:sz w:val="19"/>
                <w:szCs w:val="19"/>
              </w:rPr>
              <w:t xml:space="preserve">R$ 1.060.000,00 *</w:t>
            </w:r>
          </w:p>
        </w:tc>
        <w:tc>
          <w:tcPr>
            <w:tcW w:type="dxa" w:w="6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  <w:jc w:val="both"/>
            </w:pPr>
            <w:r>
              <w:rPr>
                <w:rFonts w:ascii="Cambria" w:cs="Cambria" w:eastAsia="Cambria" w:hAnsi="Cambria"/>
                <w:color w:val="4A5850"/>
                <w:sz w:val="19"/>
                <w:szCs w:val="19"/>
              </w:rPr>
              <w:t xml:space="preserve">Reserva vinculada para o imóvel residencial da Sra. Elman, ou imóvel já adquirido. Vem antes de qualquer retirada dos filhos.</w:t>
            </w:r>
          </w:p>
        </w:tc>
      </w:tr>
    </w:tbl>
    <w:p>
      <w:pPr>
        <w:spacing w:after="0" w:before="12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Fora da conta: </w:t>
      </w:r>
      <w:r>
        <w:rPr>
          <w:rFonts w:ascii="Cambria" w:cs="Cambria" w:eastAsia="Cambria" w:hAnsi="Cambria"/>
          <w:color w:val="4A5850"/>
          <w:sz w:val="19"/>
          <w:szCs w:val="19"/>
        </w:rPr>
        <w:t xml:space="preserve">o adiantamento do loteador parceiro (Santa Helena) não entra na Meta I. Ele é autoliquidável — o próprio loteador retém os valores devidos ao grupo até recompor o adiantamento e só depois repassa o excedente. Não há o que quitar, há o que aguardar.</w:t>
      </w:r>
    </w:p>
    <w:p>
      <w:pPr>
        <w:keepNext/>
        <w:spacing w:after="60" w:before="150"/>
      </w:pPr>
      <w:r>
        <w:rPr>
          <w:rFonts w:ascii="Cambria" w:cs="Cambria" w:eastAsia="Cambria" w:hAnsi="Cambria"/>
          <w:b/>
          <w:bCs/>
          <w:color w:val="1F5140"/>
          <w:spacing w:val="22"/>
          <w:sz w:val="18"/>
          <w:szCs w:val="18"/>
        </w:rPr>
        <w:t xml:space="preserve">MINUTA — CLÁUSULA [•]: DESTINAÇÃO DE RESULTADOS E METAS DE LIBERAÇÃO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1. Princípio.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 distribuição de lucros, dividendos, juros sobre capital próprio ou qualquer outra forma de retorno do capital aos nu-proprietários não é regida por prazo, mas pelo cumprimento cumulativo das três Metas do item 3, tenha esse cumprimento a duração que tiver. Até lá, os resultados são integralmente retidos e destinados a esse cumprimento.</w:t>
      </w:r>
    </w:p>
    <w:p>
      <w:pPr>
        <w:spacing w:after="60" w:before="6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 Definições.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2.1  Perímetro de Endividamento Familiar.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Todas as obrigações pecuniárias, de qualquer natureza e ainda que vincendas, originadas nos negócios conduzidos, liderados ou orientados pelo Sr. Wilson Grison, </w:t>
      </w: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independentemente da pessoa física ou jurídica em cujo nome tenham sido contraídas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: as da Grison e Cia Ltda.; as pessoais de Wilson e de Elman M. Coelho Grison como devedores, avalistas, fiadores ou coobrigados; e as das sociedades por eles constituídas, controladas ou dirigidas de fato, ainda que registradas em nome de filhos, cônjuge ou terceiros — EMC Grison, Bioaçaí, ML Serviços Agrícolas, Natyrê, Tiúba 2 SPE e Patrimônio Digital. A relação consta do Anexo I, aprovado em até 90 dias e atualizado semestralmente; obrigação não listada que se enquadre nesta definição integra o Perímetro.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2.2  Dívida Quitada.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Aquela cuja exigibilidade se extinguiu em face de todos os coobrigados — por pagamento, deságio, transação, novação, decisão transitada em julgado, prescrição ou assunção liberatória com exoneração dos garantidores. É indiferente o valor desembolsado: exige-se que a obrigação deixe de ser exigível do Perímetro.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2.3  Dívida Equacionada.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 obrigação em parcelamento ou transação regularmente deferida que, cumulativamente, esteja adimplente, não conte com garantia pessoal de qualquer dos nu-proprietários e tenha o saldo devedor integralmente provisionado em reserva vinculada não computável na Meta II. Vale como cumprida enquanto mantidos os requisitos.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2.4  Adiantamento Santa Helena.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Valores antecipados pelo loteador parceiro por conta de resultados futuros da parceria, recompostos por retenção, pelo próprio loteador, dos repasses devidos ao grupo. </w:t>
      </w: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Está expressamente excluído do Perímetro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 e não conta para a Meta I, por constituir obrigação de liquidação automática por compensação contratual, independente de desembolso ou de ato de gestão dos sócios. Consta do Anexo I apenas para informação.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2.5  Caixa Mínimo.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Caixa e equivalentes de livre movimentação da Companhia e controladas, excluídos os recursos vinculados à Meta III, os provisionados no item 2.3, os de terceiros e os valores bloqueados ou de destinação vinculada.</w:t>
      </w:r>
    </w:p>
    <w:p>
      <w:pPr>
        <w:spacing w:after="80" w:before="6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3. As Metas — cumulativas e não fracionáveis.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(I) 100% das obrigações do Perímetro Quitadas ou Equacionadas, ressalvado o Adiantamento Santa Helena; (II) Caixa Mínimo igual ou superior a R$ 2.000.000,00, mantido por dois balancetes mensais consecutivos; (III) Reserva Moradia igual ou superior a R$ 1.060.000,00 destinada ao imóvel residencial da Sra. Elman, ou imóvel já adquirido e quitado. Os valores das Metas II e III são corrigidos anualmente pelo IPCA. O cumprimento parcial, ainda que de duas Metas, não autoriza distribuição parcial, proporcional ou antecipada.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4. Retenção.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Até a Data de Liberação é vedada aos nu-proprietários qualquer distribuição de lucros, dividendos, juros sobre capital próprio, redução de capital com restituição, resgate ou reembolso, ressalvado o item 5. Os lucros retidos vão para reserva fundamentada em orçamento de capital aprovado anualmente em Assembleia (art. 196 da Lei 6.404/76), e o Estatuto fixará o dividendo obrigatório em percentual compatível com esta Cláusula (art. 202), sob pena de conflito entre os dois documentos.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5. Exceções.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Não configuram distribuição vedada: (a) a </w:t>
      </w: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retirada mensal dos usufrutuários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 Wilson e Elman, de até R$ [•] cada, reajustável pelo IPCA, a título dos frutos que lhes pertencem por direito — a trava recai sobre a retirada dos filhos, não sobre o usufruto reservado na doação; (b) as parcelas do ITCMD da doação e os custos dos atos societários e registrais correlatos; (c) o pró-labore, em valor de mercado e aprovado em Assembleia, dos sócios que exerçam função; (d) o reembolso de despesas comprovadas no interesse da Companhia; (e) a devolução de mútuo formalizado. Os valores de (a) e (c) constam do Anexo II e sua majoração não pode ter por efeito substituir a distribuição vedada.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6. Vedação à distribuição disfarçada.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Durante a retenção é vedado o pagamento de despesas pessoais pela Companhia ou controladas, o mútuo a sócio ou parte relacionada sem contrato e juros de mercado, a contratação de parte relacionada fora de mercado, o uso de bem social sem contrapartida e o desvio de oportunidade de negócio para veículo pessoal de sócio. As sociedades do grupo manterão contabilidades segregadas e contratos escritos entre si. A violação obriga à restituição integral e corrigida.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7. Verificação.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 administração apresenta Relatório de Progresso das Metas semestralmente. Entendendo-as cumpridas, convoca Assembleia instruída com balancete de até 30 dias, declaração do contador, comprovação da extinção de cada obrigação e certidões das pessoas físicas e jurídicas envolvidas, que declara em ata a Data de Liberação. Qualquer sócio pode requerer, às suas expensas, verificação independente antes da deliberação.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8. Efeitos e restabelecimento da trava.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Aberta a distribuição, ela não pode reduzir o Caixa Mínimo abaixo do valor da Meta II — que deixa de ser meta e passa a ser piso permanente — e a Reserva Moradia segue indisponível até a aquisição. A distribuição fica automaticamente suspensa se for revelada obrigação do Perímetro anterior à declaração e dela não constante, se a Dívida Equacionada deixar de atender ao item 2.3, ou se o caixa cair abaixo do piso.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9. Ausência de prazo.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Não há prazo mínimo nem máximo, e nenhum decurso de tempo produz liberação automática. Decorridos 60 meses sem cumprimento integral, a Assembleia revisa o plano de execução e o cronograma; a revisão não flexibiliza nem dispensa as Metas, o que dependerá de deliberação específica pelo quórum de alteração do Acordo.</w:t>
      </w:r>
    </w:p>
    <w:p>
      <w:pPr>
        <w:spacing w:after="60" w:before="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Anexos.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I — Mapa de Dívidas do Perímetro (credor, natureza, situação processual, garantias, coobrigados e status), com o Adiantamento Santa Helena destacado como item excluído. II — Retirada dos usufrutuários e pró-labore aprovados.</w:t>
      </w:r>
    </w:p>
    <w:p>
      <w:pPr>
        <w:keepNext/>
        <w:spacing w:after="60" w:before="150"/>
      </w:pPr>
      <w:r>
        <w:rPr>
          <w:rFonts w:ascii="Cambria" w:cs="Cambria" w:eastAsia="Cambria" w:hAnsi="Cambria"/>
          <w:b/>
          <w:bCs/>
          <w:color w:val="1F5140"/>
          <w:spacing w:val="22"/>
          <w:sz w:val="18"/>
          <w:szCs w:val="18"/>
        </w:rPr>
        <w:t xml:space="preserve">TRÊS DEFINIÇÕES PENDENTES ANTES DE FECHAR A REDAÇÃO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1.  Valor do imóvel da Meta III.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A minuta está com R$ 1.060.000,00. Confirmar se é este o número ou R$ 1.600.000,00.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2.  Retirada dos usufrutuários (item 5, alínea a).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Definir o valor mensal que Wilson e Elman seguem recebendo durante a retenção. A cláusula não pode ser um “ninguém recebe nada” puro: o usufruto é dos pais e os frutos lhes pertencem por direito.</w:t>
      </w:r>
    </w:p>
    <w:p>
      <w:pPr>
        <w:spacing w:after="60" w:before="0"/>
        <w:ind w:left="200"/>
        <w:jc w:val="both"/>
      </w:pPr>
      <w:r>
        <w:rPr>
          <w:rFonts w:ascii="Cambria" w:cs="Cambria" w:eastAsia="Cambria" w:hAnsi="Cambria"/>
          <w:b/>
          <w:bCs/>
          <w:color w:val="141C17"/>
          <w:sz w:val="19"/>
          <w:szCs w:val="19"/>
        </w:rPr>
        <w:t xml:space="preserve">3.  Dívidas em parcelamento oficial (item 2.3). </w:t>
      </w:r>
      <w:r>
        <w:rPr>
          <w:rFonts w:ascii="Cambria" w:cs="Cambria" w:eastAsia="Cambria" w:hAnsi="Cambria"/>
          <w:color w:val="141C17"/>
          <w:sz w:val="19"/>
          <w:szCs w:val="19"/>
        </w:rPr>
        <w:t xml:space="preserve">Decidir se contam como cumpridas quando adimplentes e integralmente cobertas por reserva. Sem essa regra, uma transação da PGFN em 120 meses trava a distribuição por dez anos sozinha.</w:t>
      </w:r>
    </w:p>
    <w:sectPr>
      <w:footerReference w:type="default" r:id="rId7"/>
      <w:pgSz w:w="12240" w:h="15840" w:orient="portrait"/>
      <w:pgMar w:top="960" w:right="1000" w:bottom="860" w:left="100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3CDC5" w:sz="6" w:space="6"/>
      </w:pBdr>
      <w:spacing w:after="0" w:before="0"/>
    </w:pPr>
    <w:r>
      <w:rPr>
        <w:rFonts w:ascii="Cambria" w:cs="Cambria" w:eastAsia="Cambria" w:hAnsi="Cambria"/>
        <w:i/>
        <w:iCs/>
        <w:color w:val="4A5850"/>
        <w:sz w:val="15"/>
        <w:szCs w:val="15"/>
      </w:rPr>
      <w:t xml:space="preserve">Documento de trabalho para discussão familiar. Não constitui parecer jurídico e não substitui a análise do advogado da família e do tributarista, que devem validar a redação antes de qualquer assinatura.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Distribuicao de lucros por metas</dc:title>
  <dc:creator>Grupo Grison</dc:creator>
  <cp:lastModifiedBy>Un-named</cp:lastModifiedBy>
  <cp:revision>1</cp:revision>
  <dcterms:created xsi:type="dcterms:W3CDTF">2026-08-18T13:13:27.793Z</dcterms:created>
  <dcterms:modified xsi:type="dcterms:W3CDTF">2026-08-18T13:13:27.793Z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