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ANEXO I AO ACORDO DE SÓCIOS</w:t>
      </w:r>
    </w:p>
    <w:p>
      <w:pPr>
        <w:spacing w:after="34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CRITÉRIOS DE DESTINAÇÃO DE RESULTADOS</w:t>
      </w:r>
    </w:p>
    <w:p>
      <w:pPr>
        <w:spacing w:after="150" w:line="252" w:lineRule="auto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1"/>
          <w:szCs w:val="21"/>
        </w:rPr>
        <w:t xml:space="preserve">Nota preliminar — a lógica do anexo (não integra o texto contratual)</w:t>
      </w:r>
    </w:p>
    <w:p>
      <w:pPr>
        <w:spacing w:after="130" w:before="0" w:line="252" w:lineRule="auto"/>
        <w:jc w:val="both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A distribuição não é travada por prazo, e sim por metas. Prazo fixo desestimula: se ninguém recebe nada antes de cinco anos, o esforço de hoje não altera nada. A meta é mais rigorosa, porque nenhum decurso de tempo libera a distribuição enquanto houver dívida em aberto, e premia quem resolver antes.</w:t>
      </w:r>
    </w:p>
    <w:p>
      <w:pPr>
        <w:spacing w:after="130" w:before="0" w:line="252" w:lineRule="auto"/>
        <w:jc w:val="both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Quanto ao imóvel da usufrutuária: o custo deve recair apenas sobre Leonardo e Bárbara, filhos biológicos e herdeiros dela. Como o dinheiro sai da Companhia, que pertence aos quatro, distribui-se um montante bruto calibrado para que a fatia dos dois cubra exatamente o imóvel e os demais recebam em dinheiro o equivalente à sua participação. Daí a divisão por 74,625%, soma das participações de Leonardo e Bárbara. Os percentuais de 37,3125% e 12,4375% carregam a quarta casa por serem metades exatas de 74,625% e de 24,875%; arredondá-los à terceira faria a soma fechar em 100,002% e os valores deixariam de bater com o bruto.</w:t>
      </w:r>
    </w:p>
    <w:p>
      <w:pPr>
        <w:spacing w:after="300" w:before="0" w:line="252" w:lineRule="auto"/>
        <w:jc w:val="both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Renumeração: o Mapa de Dívidas passa a Anexo II e o pró-labore aprovado, a Anexo III.</w:t>
      </w:r>
    </w:p>
    <w:p>
      <w:pPr>
        <w:keepNext/>
        <w:spacing w:after="118" w:before="205" w:line="252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1.  ALCANCE</w:t>
      </w:r>
    </w:p>
    <w:p>
      <w:pPr>
        <w:spacing w:after="118" w:before="0" w:line="252" w:lineRule="auto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1.1.  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São Sócios Sujeitos à Retenção os filhos nu-proprietários, os demais cotistas e quaisquer sócios admitidos no futuro, inclusive colaboradores em regime de partnership.</w:t>
      </w:r>
    </w:p>
    <w:p>
      <w:pPr>
        <w:spacing w:after="118" w:before="0" w:line="252" w:lineRule="auto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1.2.  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Este Anexo não se aplica aos usufrutuários Wilson Grison e Elman M. Coelho Grison. Os frutos das participações gravadas com usufruto lhes pertencem por direito próprio e são pagos integralmente, sem limite, prazo ou condição.</w:t>
      </w:r>
    </w:p>
    <w:p>
      <w:pPr>
        <w:keepNext/>
        <w:spacing w:after="118" w:before="205" w:line="252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2.  PERÍMETRO DE ENDIVIDAMENTO DO GRUPO</w:t>
      </w:r>
    </w:p>
    <w:p>
      <w:pPr>
        <w:spacing w:after="118" w:before="0" w:line="252" w:lineRule="auto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2.1.  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Integram o Perímetro as obrigações pecuniárias, vencidas ou vincendas, originadas nos negócios conduzidos ou liderados por Wilson Grison, </w:t>
      </w: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independentemente da pessoa em cujo nome tenham sido contraídas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: financiamentos e empréstimos bancários, dívidas com fornecedores e prestadores de serviço, tributos de qualquer esfera, multas e autos de infração, custas e emolumentos cartorários, parcelamentos e obrigações decorrentes de garantias prestadas.</w:t>
      </w:r>
    </w:p>
    <w:p>
      <w:pPr>
        <w:spacing w:after="118" w:before="0" w:line="252" w:lineRule="auto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2.2.  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Alcança as dívidas da Grison e Cia Ltda., as pessoais de Wilson e de Elman M. Coelho Grison como devedores, avalistas, fiadores ou coobrigados, e as das sociedades por eles constituídas, controladas ou dirigidas de fato, ainda que em nome de filhos, cônjuge ou terceiros — EMC Grison, Bioaçaí, ML Serviços Agrícolas, Natyrê, Tiúba 2 SPE e Patrimônio Digital. Obrigação não relacionada no Anexo II que se enquadre nesta definição integra o Perímetro.</w:t>
      </w:r>
    </w:p>
    <w:p>
      <w:pPr>
        <w:spacing w:after="118" w:before="0" w:line="252" w:lineRule="auto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2.3.  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Não integram o Perímetro as dívidas estritamente particulares de qualquer sócio, sem relação com os negócios do grupo.</w:t>
      </w:r>
    </w:p>
    <w:p>
      <w:pPr>
        <w:spacing w:after="118" w:before="0" w:line="252" w:lineRule="auto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2.4.  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Não integra o Perímetro o adiantamento do loteador parceiro (Santa Helena), recomposto por retenção, pelo próprio loteador, dos repasses devidos ao grupo: sua liquidação é automática e independe de ato de gestão dos sócios.</w:t>
      </w:r>
    </w:p>
    <w:p>
      <w:pPr>
        <w:spacing w:after="118" w:before="0" w:line="252" w:lineRule="auto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2.5.  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Dívida Quitada é aquela cujo saldo é zero e cuja exigibilidade se extinguiu perante todos os coobrigados, por pagamento, deságio, transação, novação, decisão transitada em julgado, prescrição ou assunção liberatória com exoneração dos garantidores. É indiferente o valor desembolsado. </w:t>
      </w: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Parcelamento em curso não é Dívida Quitada, ressalvado o item 2.6.</w:t>
      </w:r>
    </w:p>
    <w:p>
      <w:pPr>
        <w:spacing w:after="118" w:before="0" w:line="252" w:lineRule="auto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2.6.  </w:t>
      </w: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Dívidas Fiscais Parceladas. 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Não precisam ser quitadas à vista, nem impedem o cumprimento da Meta I, as obrigações perante a Receita Federal, inclusive imposto de renda, a Receita Estadual, a Receita Municipal e o Tribunal de Contas da União submetidas a parcelamento ou transação regularmente deferidos, adimplentes e sem garantia pessoal de Sócio Sujeito à Retenção. A perda da adimplência restabelece a trava do item 5 até a regularização.</w:t>
      </w:r>
    </w:p>
    <w:p>
      <w:pPr>
        <w:keepNext/>
        <w:spacing w:after="118" w:before="205" w:line="252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3.  METAS DE LIBERAÇÃO</w:t>
      </w:r>
    </w:p>
    <w:p>
      <w:pPr>
        <w:spacing w:after="110" w:before="0" w:line="252" w:lineRule="auto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3.1.  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A distribuição aos Sócios Sujeitos à Retenção fica condicionada ao cumprimento cumulativo das seguintes Metas:</w:t>
      </w:r>
    </w:p>
    <w:p>
      <w:pPr>
        <w:spacing w:after="90" w:before="0" w:line="252" w:lineRule="auto"/>
        <w:ind w:left="4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(a)  </w:t>
      </w: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Meta I — Dívida zero. 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Quitação de 100% das obrigações do Perímetro.</w:t>
      </w:r>
    </w:p>
    <w:p>
      <w:pPr>
        <w:spacing w:after="90" w:before="0" w:line="252" w:lineRule="auto"/>
        <w:ind w:left="4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(b)  </w:t>
      </w: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Meta II — Caixa mínimo. 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Caixa e equivalentes de livre movimentação iguais ou superiores a R$ 2.000.000,00 (dois milhões de reais), mantidos por dois balancetes mensais consecutivos.</w:t>
      </w:r>
    </w:p>
    <w:p>
      <w:pPr>
        <w:spacing w:after="118" w:before="0" w:line="252" w:lineRule="auto"/>
        <w:ind w:left="4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(c)  </w:t>
      </w: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Meta III — Imóvel da usufrutuária. 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Disponibilidade, em reserva vinculada, do montante bruto apurado na forma do item 4.3, correspondente a R$ 1.876.046,901 para imóvel mobiliado de R$ 1.400.000,00 — ou operação já concluída.</w:t>
      </w:r>
    </w:p>
    <w:p>
      <w:pPr>
        <w:spacing w:after="118" w:before="0" w:line="252" w:lineRule="auto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3.2.  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A Meta I somente se tem por cumprida mediante, cumulativamente: certidões negativas, ou positivas com efeito de negativas, federais, estaduais e municipais das pessoas do Perímetro; ausência de protesto; ausência de anotação restritiva em Serasa, SPC ou equivalente; e baixa dos gravames. Anotação decorrente de dívida particular de sócio não impede o cumprimento da Meta.</w:t>
      </w:r>
    </w:p>
    <w:p>
      <w:pPr>
        <w:spacing w:after="118" w:before="0" w:line="252" w:lineRule="auto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3.3.  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Os valores das Metas II e III são corrigidos anualmente pelo IPCA a contar da assinatura do Acordo. O cumprimento parcial não autoriza distribuição parcial, proporcional ou antecipada.</w:t>
      </w:r>
    </w:p>
    <w:p>
      <w:pPr>
        <w:keepNext/>
        <w:spacing w:after="118" w:before="205" w:line="252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4.  IMÓVEL DA USUFRUTUÁRIA E EQUALIZAÇÃO ENTRE OS SÓCIOS</w:t>
      </w:r>
    </w:p>
    <w:p>
      <w:pPr>
        <w:spacing w:after="118" w:before="0" w:line="252" w:lineRule="auto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4.1.  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O imóvel residencial destinado à usufrutuária Elman M. Coelho Grison, de sua livre escolha, será adquirido mobiliado pela Companhia e registrado em nome dela, livre e desembaraçado.</w:t>
      </w:r>
    </w:p>
    <w:p>
      <w:pPr>
        <w:spacing w:after="118" w:before="0" w:line="252" w:lineRule="auto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4.2.  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O custo econômico da aquisição recai exclusivamente sobre Leonardo e Bárbara Grison, filhos biológicos e herdeiros da usufrutuária. Wellington e Marcelo Grison não concorrem para esse custeio e recebem em dinheiro o correspondente à sua participação no montante bruto.</w:t>
      </w:r>
    </w:p>
    <w:p>
      <w:pPr>
        <w:spacing w:after="118" w:before="0" w:line="252" w:lineRule="auto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4.3.  </w:t>
      </w: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Fórmula. 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O montante bruto da operação corresponde ao valor do imóvel mobiliado dividido por 74,625%, soma das participações de Leonardo (37,3125%) e Bárbara (37,3125%) na qualidade de herdeiros da usufrutuária.</w:t>
      </w:r>
    </w:p>
    <w:p>
      <w:pPr>
        <w:spacing w:after="170" w:line="252" w:lineRule="auto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Montante Bruto  =  Valor do Imóvel Mobiliado  ÷  74,625%</w:t>
      </w:r>
    </w:p>
    <w:p>
      <w:pPr>
        <w:spacing w:after="110" w:before="0" w:line="252" w:lineRule="auto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4.4.  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Apurado o montante bruto, a operação se decompõe em:</w:t>
      </w:r>
    </w:p>
    <w:p>
      <w:pPr>
        <w:spacing w:after="90" w:before="0" w:line="252" w:lineRule="auto"/>
        <w:ind w:left="4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(a)  </w:t>
      </w: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parcela satisfeita em bem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— 37,3125% a Bárbara Grison e 37,3125% a Leonardo Grison, integralmente aplicados na aquisição do imóvel;</w:t>
      </w:r>
    </w:p>
    <w:p>
      <w:pPr>
        <w:spacing w:after="90" w:before="0" w:line="252" w:lineRule="auto"/>
        <w:ind w:left="4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(b)  </w:t>
      </w: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parcelas em dinheiro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— 12,4375% a Wellington Grison e 12,4375% a Marcelo Grison;</w:t>
      </w:r>
    </w:p>
    <w:p>
      <w:pPr>
        <w:spacing w:after="118" w:before="0" w:line="252" w:lineRule="auto"/>
        <w:ind w:left="420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(c)  </w:t>
      </w: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parcela em dinheiro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 — 0,500% a Leonardo Grison.</w:t>
      </w:r>
    </w:p>
    <w:p>
      <w:pPr>
        <w:spacing w:after="118" w:before="0" w:line="252" w:lineRule="auto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4.5.  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A participação de 0,500% de Leonardo Grison na Grison e Cia Ltda. é anterior à reorganização societária e não decorre de herança. Seu produto é pago em dinheiro e </w:t>
      </w: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não integra o custeio do imóvel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.</w:t>
      </w:r>
    </w:p>
    <w:p>
      <w:pPr>
        <w:spacing w:after="118" w:before="0" w:line="252" w:lineRule="auto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4.6.  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Os percentuais e valores deste item são expressos com três casas decimais e arredondados ao centavo no momento do pagamento.</w:t>
      </w:r>
    </w:p>
    <w:p>
      <w:pPr>
        <w:spacing w:after="118" w:before="0" w:line="252" w:lineRule="auto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4.7.  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A aquisição do imóvel e os pagamentos em dinheiro são simultâneos, constituem execução da Meta III e não configuram distribuição vedada pelo item 5.</w:t>
      </w:r>
    </w:p>
    <w:p>
      <w:pPr>
        <w:spacing w:after="118" w:before="0" w:line="252" w:lineRule="auto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4.8.  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Os percentuais deste item aplicam-se exclusivamente a esta operação e não estabelecem critério de rateio para as demais distribuições.</w:t>
      </w:r>
    </w:p>
    <w:p>
      <w:pPr>
        <w:spacing w:after="118" w:before="0" w:line="252" w:lineRule="auto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4.9.  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O enquadramento tributário da aquisição e da transferência ao patrimônio da usufrutuária será definido previamente com o tributarista, e seu custo integra o montante bruto.</w:t>
      </w:r>
    </w:p>
    <w:p>
      <w:pPr>
        <w:spacing w:after="130" w:before="0" w:line="252" w:lineRule="auto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4.10.  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Aplicação da fórmula a imóvel mobiliado de R$ 1.400.000,00, a título ilustrativo: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100"/>
        <w:gridCol w:w="2600"/>
      </w:tblGrid>
      <w:tr>
        <w:trPr>
          <w:cantSplit/>
          <w:tblHeader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1"/>
                <w:szCs w:val="21"/>
              </w:rPr>
              <w:t xml:space="preserve">Sócio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1"/>
                <w:szCs w:val="21"/>
              </w:rPr>
              <w:t xml:space="preserve">Participação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1"/>
                <w:szCs w:val="21"/>
              </w:rPr>
              <w:t xml:space="preserve">Valor (R$)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1"/>
                <w:szCs w:val="21"/>
              </w:rPr>
              <w:t xml:space="preserve">Bárbara Grison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1"/>
                <w:szCs w:val="21"/>
              </w:rPr>
              <w:t xml:space="preserve">37,3125% — em bem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Times New Roman" w:cs="Times New Roman" w:eastAsia="Times New Roman" w:hAnsi="Times New Roman"/>
                <w:color w:val="000000"/>
                <w:sz w:val="21"/>
                <w:szCs w:val="21"/>
              </w:rPr>
              <w:t xml:space="preserve">700.000,000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1"/>
                <w:szCs w:val="21"/>
              </w:rPr>
              <w:t xml:space="preserve">Leonardo Grison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1"/>
                <w:szCs w:val="21"/>
              </w:rPr>
              <w:t xml:space="preserve">37,3125% — em bem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Times New Roman" w:cs="Times New Roman" w:eastAsia="Times New Roman" w:hAnsi="Times New Roman"/>
                <w:color w:val="000000"/>
                <w:sz w:val="21"/>
                <w:szCs w:val="21"/>
              </w:rPr>
              <w:t xml:space="preserve">700.000,000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1"/>
                <w:szCs w:val="21"/>
              </w:rPr>
              <w:t xml:space="preserve">Wellington Grison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1"/>
                <w:szCs w:val="21"/>
              </w:rPr>
              <w:t xml:space="preserve">12,4375% — em dinheiro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Times New Roman" w:cs="Times New Roman" w:eastAsia="Times New Roman" w:hAnsi="Times New Roman"/>
                <w:color w:val="000000"/>
                <w:sz w:val="21"/>
                <w:szCs w:val="21"/>
              </w:rPr>
              <w:t xml:space="preserve">233.333,333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1"/>
                <w:szCs w:val="21"/>
              </w:rPr>
              <w:t xml:space="preserve">Marcelo Grison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1"/>
                <w:szCs w:val="21"/>
              </w:rPr>
              <w:t xml:space="preserve">12,4375% — em dinheiro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Times New Roman" w:cs="Times New Roman" w:eastAsia="Times New Roman" w:hAnsi="Times New Roman"/>
                <w:color w:val="000000"/>
                <w:sz w:val="21"/>
                <w:szCs w:val="21"/>
              </w:rPr>
              <w:t xml:space="preserve">233.333,333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1"/>
                <w:szCs w:val="21"/>
              </w:rPr>
              <w:t xml:space="preserve">Leonardo Grison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1"/>
                <w:szCs w:val="21"/>
              </w:rPr>
              <w:t xml:space="preserve">0,500% — em dinheiro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Times New Roman" w:cs="Times New Roman" w:eastAsia="Times New Roman" w:hAnsi="Times New Roman"/>
                <w:color w:val="000000"/>
                <w:sz w:val="21"/>
                <w:szCs w:val="21"/>
              </w:rPr>
              <w:t xml:space="preserve">9.380,235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1"/>
                <w:szCs w:val="21"/>
              </w:rPr>
              <w:t xml:space="preserve">Montante bruto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1"/>
                <w:szCs w:val="21"/>
              </w:rPr>
              <w:t xml:space="preserve">100,000%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1"/>
                <w:szCs w:val="21"/>
              </w:rPr>
              <w:t xml:space="preserve">1.876.046,901</w:t>
            </w:r>
          </w:p>
        </w:tc>
      </w:tr>
    </w:tbl>
    <w:p>
      <w:pPr>
        <w:keepNext/>
        <w:spacing w:after="118" w:before="205" w:line="252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5.  RETENÇÃO</w:t>
      </w:r>
    </w:p>
    <w:p>
      <w:pPr>
        <w:spacing w:after="118" w:before="0" w:line="252" w:lineRule="auto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5.1.  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Até a Data de Liberação é vedada aos Sócios Sujeitos à Retenção qualquer distribuição de lucros, dividendos, juros sobre capital próprio, redução de capital com restituição, resgate ou reembolso, ressalvados os itens 4 e 6.</w:t>
      </w:r>
    </w:p>
    <w:p>
      <w:pPr>
        <w:spacing w:after="118" w:before="0" w:line="252" w:lineRule="auto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5.2.  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A retenção não alcança os frutos devidos aos usufrutuários, pagos na forma do item 1.2.</w:t>
      </w:r>
    </w:p>
    <w:p>
      <w:pPr>
        <w:spacing w:after="118" w:before="0" w:line="252" w:lineRule="auto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5.3.  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Os lucros que lhes caberiam são destinados a reserva fundamentada em orçamento de capital aprovado anualmente em Assembleia (art. 196 da Lei 6.404/76), obrigando-se eles a votar favoravelmente a essa destinação. O Estatuto fixará o dividendo obrigatório em percentual compatível com este Anexo (art. 202).</w:t>
      </w:r>
    </w:p>
    <w:p>
      <w:pPr>
        <w:keepNext/>
        <w:spacing w:after="118" w:before="205" w:line="252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6.  EXCEÇÕES</w:t>
      </w:r>
    </w:p>
    <w:p>
      <w:pPr>
        <w:spacing w:after="118" w:before="0" w:line="252" w:lineRule="auto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6.1.  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Não configuram distribuição vedada: (a) as parcelas do ITCMD da doação e os custos dos atos societários e registrais correlatos; (b) o pró-labore, em valor de mercado aprovado em Assembleia, dos sócios que exerçam função na Companhia ou em controladas; (c) o reembolso de despesas comprovadas no interesse da Companhia; (d) a devolução de mútuo formalizado com juros de mercado e encargos recolhidos.</w:t>
      </w:r>
    </w:p>
    <w:p>
      <w:pPr>
        <w:spacing w:after="118" w:before="0" w:line="252" w:lineRule="auto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6.2.  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Durante a retenção é vedado o pagamento de despesas pessoais de Sócio Sujeito à Retenção pela Companhia ou controladas, o mútuo a sócio ou parte relacionada sem contrato e juros de mercado, a contratação fora de mercado e o desvio de oportunidade de negócio. A violação obriga à restituição integral e corrigida.</w:t>
      </w:r>
    </w:p>
    <w:p>
      <w:pPr>
        <w:spacing w:after="118" w:before="0" w:line="252" w:lineRule="auto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6.3.  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As sociedades do grupo manterão contabilidades segregadas e formalizarão por contrato escrito as relações entre si.</w:t>
      </w:r>
    </w:p>
    <w:p>
      <w:pPr>
        <w:keepNext/>
        <w:spacing w:after="118" w:before="205" w:line="252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7.  VERIFICAÇÃO E DATA DE LIBERAÇÃO</w:t>
      </w:r>
    </w:p>
    <w:p>
      <w:pPr>
        <w:spacing w:after="118" w:before="0" w:line="252" w:lineRule="auto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7.1.  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A administração apresentará relatório semestral de progresso. Entendendo as Metas cumpridas, convocará Assembleia instruída com balancete de até 30 dias, declaração do contador, comprovação da extinção de cada obrigação e as certidões do item 3.2.</w:t>
      </w:r>
    </w:p>
    <w:p>
      <w:pPr>
        <w:spacing w:after="118" w:before="0" w:line="252" w:lineRule="auto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7.2.  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A Assembleia declarará em ata a Data de Liberação. Qualquer sócio pode requerer, às suas expensas, verificação independente antes da deliberação.</w:t>
      </w:r>
    </w:p>
    <w:p>
      <w:pPr>
        <w:spacing w:after="118" w:before="0" w:line="252" w:lineRule="auto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7.3.  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A partir da Data de Liberação, a distribuição observa a deliberação da Assembleia e o Estatuto, vedada a redução do caixa abaixo do valor da Meta II, que passa a ser piso permanente.</w:t>
      </w:r>
    </w:p>
    <w:p>
      <w:pPr>
        <w:spacing w:after="118" w:before="0" w:line="252" w:lineRule="auto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7.4.  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A distribuição fica automaticamente suspensa se for revelada obrigação do Perímetro anterior à declaração e dela não constante, ou se o caixa cair abaixo do piso, até o restabelecimento da condição.</w:t>
      </w:r>
    </w:p>
    <w:p>
      <w:pPr>
        <w:keepNext/>
        <w:spacing w:after="118" w:before="205" w:line="252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8.  AUSÊNCIA DE PRAZO</w:t>
      </w:r>
    </w:p>
    <w:p>
      <w:pPr>
        <w:spacing w:after="118" w:before="0" w:line="252" w:lineRule="auto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8.1.  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Não há prazo mínimo nem máximo para o cumprimento das Metas, e nenhum decurso de tempo produz liberação automática.</w:t>
      </w:r>
    </w:p>
    <w:p>
      <w:pPr>
        <w:spacing w:after="0" w:before="0" w:line="252" w:lineRule="auto"/>
        <w:jc w:val="both"/>
      </w:pPr>
      <w:r>
        <w:rPr>
          <w:rFonts w:ascii="Times New Roman" w:cs="Times New Roman" w:eastAsia="Times New Roman" w:hAnsi="Times New Roman"/>
          <w:b/>
          <w:bCs/>
          <w:color w:val="000000"/>
          <w:sz w:val="22"/>
          <w:szCs w:val="22"/>
        </w:rPr>
        <w:t xml:space="preserve">8.2.  </w:t>
      </w:r>
      <w:r>
        <w:rPr>
          <w:rFonts w:ascii="Times New Roman" w:cs="Times New Roman" w:eastAsia="Times New Roman" w:hAnsi="Times New Roman"/>
          <w:color w:val="000000"/>
          <w:sz w:val="22"/>
          <w:szCs w:val="22"/>
        </w:rPr>
        <w:t xml:space="preserve">Decorridos 60 meses sem cumprimento integral, a Assembleia revisará o plano de execução. A revisão não flexibiliza nem dispensa as Metas, o que dependerá de deliberação específica pelo quórum de alteração do Acordo.</w:t>
      </w:r>
    </w:p>
    <w:sectPr>
      <w:footerReference w:type="default" r:id="rId7"/>
      <w:pgSz w:w="12240" w:h="15840" w:orient="portrait"/>
      <w:pgMar w:top="1000" w:right="1220" w:bottom="780" w:left="1220" w:header="708" w:footer="37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AAAAAA" w:sz="6" w:space="6"/>
      </w:pBdr>
      <w:spacing w:after="0"/>
    </w:pPr>
    <w:r>
      <w:rPr>
        <w:rFonts w:ascii="Times New Roman" w:cs="Times New Roman" w:eastAsia="Times New Roman" w:hAnsi="Times New Roman"/>
        <w:i/>
        <w:iCs/>
        <w:color w:val="444444"/>
        <w:sz w:val="16"/>
        <w:szCs w:val="16"/>
      </w:rPr>
      <w:t xml:space="preserve">Minuta de trabalho, versão 4.0. Não constitui parecer jurídico; sujeita à revisão do advogado da família e de tributarista antes da assinatura.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Anexo I - Criterios de Destinacao de Resultados</dc:title>
  <dc:creator>Grupo Grison</dc:creator>
  <cp:lastModifiedBy>Un-named</cp:lastModifiedBy>
  <cp:revision>1</cp:revision>
  <dcterms:created xsi:type="dcterms:W3CDTF">2026-08-18T21:16:19.568Z</dcterms:created>
  <dcterms:modified xsi:type="dcterms:W3CDTF">2026-08-18T21:16:19.568Z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