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ANEXO I AO ACORDO DE SÓCIOS</w:t>
      </w:r>
    </w:p>
    <w:p>
      <w:pPr>
        <w:spacing w:after="3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CRITÉRIOS DE DESTINAÇÃO DE RESULTADOS</w:t>
      </w:r>
    </w:p>
    <w:p>
      <w:pPr>
        <w:spacing w:after="15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1"/>
          <w:szCs w:val="21"/>
        </w:rPr>
        <w:t xml:space="preserve">Nota preliminar — a lógica do anexo (não integra o texto contratual)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 distribuição não é travada por prazo, e sim por metas. Prazo fixo desestimula: se ninguém recebe nada antes de cinco anos, o esforço de hoje não altera nada. A meta é mais rigorosa, porque nenhum decurso de tempo libera a distribuição enquanto houver dívida em aberto, e premia quem resolver antes.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Quanto ao imóvel da usufrutuária: o custo deve recair apenas sobre Leonardo e Bárbara, filhos biológicos e herdeiros dela. Como o dinheiro sai da Companhia, que pertence aos quatro, distribui-se um montante bruto calibrado para que a fatia dos dois cubra exatamente o imóvel e os demais recebam em dinheiro o equivalente à sua participação. Daí a divisão por 74,62%, soma das participações de Leonardo e Bárbara — adotada com duas casas, e não pela fração exata de 74,625%, para que o número do contrato seja o da planilha.</w:t>
      </w:r>
    </w:p>
    <w:p>
      <w:pPr>
        <w:spacing w:after="300" w:before="0" w:line="264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Renumeração: o Mapa de Dívidas passa a Anexo II e o pró-labore aprovado, a Anexo III.</w:t>
      </w:r>
    </w:p>
    <w:p>
      <w:pPr>
        <w:keepNext/>
        <w:spacing w:after="130" w:before="225" w:line="26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  ALCANCE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1.1.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São Sócios Sujeitos à Retenção os filhos nu-proprietários, os demais cotistas e quaisquer sócios admitidos no futuro, inclusive colaboradores em regime de partnership.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1.2.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Este Anexo não se aplica aos usufrutuários Wilson Grison e Elman M. Coelho Grison. Os frutos das participações gravadas com usufruto lhes pertencem por direito próprio e são pagos integralmente, sem limite, prazo ou condição.</w:t>
      </w:r>
    </w:p>
    <w:p>
      <w:pPr>
        <w:keepNext/>
        <w:spacing w:after="130" w:before="225" w:line="26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  PERÍMETRO DE ENDIVIDAMENTO DO GRUPO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2.1.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Integram o Perímetro as obrigações pecuniárias, vencidas ou vincendas, originadas nos negócios conduzidos, liderados ou orientados por Wilson Grison,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independentemente da pessoa em cujo nome tenham sido contraídas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: financiamentos e empréstimos bancários, dívidas com fornecedores e prestadores de serviço, tributos de qualquer esfera, multas e autos de infração, custas e emolumentos cartorários, parcelamentos e transações, e obrigações decorrentes de garantias prestadas.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2.2.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Alcança as dívidas da Grison e Cia Ltda., as pessoais de Wilson Grison e de Elman M. Coelho Grison como devedores, avalistas, fiadores ou coobrigados, e as das sociedades por eles constituídas, controladas ou dirigidas de fato, ainda que em nome de filhos, cônjuge ou terceiros, incluindo EMC Grison, Bioaçaí, ML Serviços Agrícolas, Natyrê, Tiúba 2 SPE e Patrimônio Digital. Obrigação não relacionada no Anexo II que se enquadre nesta definição integra o Perímetro.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2.3.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Não integram o Perímetro as dívidas estritamente particulares de qualquer sócio, sem relação com os negócios do grupo.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2.4.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Não integra o Perímetro o adiantamento recebido do loteador parceiro (Santa Helena), recomposto por retenção, pelo próprio loteador, dos repasses devidos ao grupo. Sua liquidação é automática e independe de desembolso ou de ato de gestão dos sócios.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2.5.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Dívida Quitada é aquela cujo saldo é zero e cuja exigibilidade se extinguiu perante todos os coobrigados, por pagamento, deságio, transação, novação, decisão transitada em julgado, prescrição ou assunção liberatória com exoneração dos garantidores. É indiferente o valor desembolsado.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Parcelamento em curso, ainda que adimplente, não é Dívida Quitada.</w:t>
      </w:r>
    </w:p>
    <w:p>
      <w:pPr>
        <w:keepNext/>
        <w:spacing w:after="130" w:before="225" w:line="26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  METAS DE LIBERAÇÃO</w:t>
      </w:r>
    </w:p>
    <w:p>
      <w:pPr>
        <w:spacing w:after="11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3.1.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distribuição aos Sócios Sujeitos à Retenção fica condicionada ao cumprimento cumulativo das seguintes Metas:</w:t>
      </w:r>
    </w:p>
    <w:p>
      <w:pPr>
        <w:spacing w:after="90" w:before="0" w:line="264" w:lineRule="auto"/>
        <w:ind w:left="4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(a)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Meta I — Dívida zero.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Quitação de 100% das obrigações do Perímetro.</w:t>
      </w:r>
    </w:p>
    <w:p>
      <w:pPr>
        <w:spacing w:after="90" w:before="0" w:line="264" w:lineRule="auto"/>
        <w:ind w:left="4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(b)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Meta II — Caixa mínimo.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Caixa e equivalentes de livre movimentação iguais ou superiores a R$ 2.000.000,00 (dois milhões de reais), mantidos por dois balancetes mensais consecutivos.</w:t>
      </w:r>
    </w:p>
    <w:p>
      <w:pPr>
        <w:spacing w:after="130" w:before="0" w:line="264" w:lineRule="auto"/>
        <w:ind w:left="4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(c)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Meta III — Imóvel da usufrutuária.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Disponibilidade, em reserva vinculada, do montante bruto apurado na forma do item 4.3, correspondente a R$ 2.144.197,27 (dois milhões, cento e quarenta e quatro mil, cento e noventa e sete reais e vinte e sete centavos) para imóvel mobiliado de R$ 1.600.000,00 — ou operação já concluída.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3.2.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Meta I somente se tem por cumprida mediante, cumulativamente: certidões negativas, ou positivas com efeito de negativas, federais, estaduais e municipais da Grison e Cia Ltda. e das demais pessoas do Perímetro; ausência de protesto; ausência de anotação restritiva em Serasa, SPC ou equivalente; e baixa dos gravames. Anotação decorrente de dívida particular de sócio não impede o cumprimento da Meta.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3.3.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Os valores das Metas II e III são corrigidos anualmente pelo IPCA a contar da assinatura do Acordo. O cumprimento parcial não autoriza distribuição parcial, proporcional ou antecipada.</w:t>
      </w:r>
    </w:p>
    <w:p>
      <w:pPr>
        <w:keepNext/>
        <w:spacing w:after="130" w:before="225" w:line="26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  IMÓVEL DA USUFRUTUÁRIA E EQUALIZAÇÃO ENTRE OS SÓCIOS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4.1.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 imóvel residencial destinado à usufrutuária Elman M. Coelho Grison, de sua livre escolha, será adquirido mobiliado pela Companhia e registrado em nome dela, livre e desembaraçado.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4.2.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 custo econômico da aquisição recai exclusivamente sobre Leonardo Grison e Bárbara Grison, filhos biológicos e herdeiros da usufrutuária. Wellington Grison e Marcelo Grison não concorrem para esse custeio e recebem em dinheiro o correspondente à sua participação no montante bruto.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4.3.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Fórmula.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 montante bruto da operação corresponde ao valor do imóvel mobiliado dividido por 74,62%, percentual que corresponde à soma das participações de Leonardo (37,31%) e Bárbara (37,31%).</w:t>
      </w:r>
    </w:p>
    <w:p>
      <w:pPr>
        <w:spacing w:after="170" w:line="264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Montante Bruto  =  Valor do Imóvel Mobiliado  ÷  74,62%</w:t>
      </w:r>
    </w:p>
    <w:p>
      <w:pPr>
        <w:spacing w:after="11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4.4.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Apurado o montante bruto, a operação se decompõe em:</w:t>
      </w:r>
    </w:p>
    <w:p>
      <w:pPr>
        <w:spacing w:after="90" w:before="0" w:line="264" w:lineRule="auto"/>
        <w:ind w:left="4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(a)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37,31% a Bárbara Grison e 37,31% a Leonardo Grison, satisfeitos em bem, pela aquisição do imóvel;</w:t>
      </w:r>
    </w:p>
    <w:p>
      <w:pPr>
        <w:spacing w:after="90" w:before="0" w:line="264" w:lineRule="auto"/>
        <w:ind w:left="4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(b)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12,44% a Wellington Grison, em dinheiro;</w:t>
      </w:r>
    </w:p>
    <w:p>
      <w:pPr>
        <w:spacing w:after="90" w:before="0" w:line="264" w:lineRule="auto"/>
        <w:ind w:left="4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(c)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12,44% a Marcelo Grison, em dinheiro;</w:t>
      </w:r>
    </w:p>
    <w:p>
      <w:pPr>
        <w:spacing w:after="130" w:before="0" w:line="264" w:lineRule="auto"/>
        <w:ind w:left="42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(d)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0,5% a Leonardo Grison, em dinheiro, correspondente à sua participação originária na Grison e Cia Ltda.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4.5.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aquisição do imóvel e os pagamentos em dinheiro são simultâneos, constituem execução da Meta III e não configuram distribuição vedada pelo item 5.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4.6.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Os percentuais deste item aplicam-se exclusivamente a esta operação e não estabelecem critério de rateio para as demais distribuições.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4.7.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 enquadramento tributário da aquisição pela Companhia e da transferência ao patrimônio da usufrutuária será definido previamente com o tributarista, e seu custo integra o montante bruto.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4.8.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Aplicação da fórmula a imóvel mobiliado de R$ 1.600.000,00, a título ilustrativo: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00"/>
        <w:gridCol w:w="2600"/>
      </w:tblGrid>
      <w:tr>
        <w:trPr>
          <w:cantSplit/>
          <w:tblHeader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Sócio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Participação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Valor (R$)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Bárbara Grison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37,31% — em bem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800.000,00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Leonardo Grison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37,31% — em bem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800.000,00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Wellington Grison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12,44% — em dinheiro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266.738,14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Marcelo Grison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12,44% — em dinheiro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266.738,14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Leonardo Grison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0,5% — em dinheiro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10.720,99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Montante bruto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2.144.197,27</w:t>
            </w:r>
          </w:p>
        </w:tc>
      </w:tr>
    </w:tbl>
    <w:p>
      <w:pPr>
        <w:keepNext/>
        <w:spacing w:after="130" w:before="225" w:line="26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5.  RETENÇÃO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5.1.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Até a Data de Liberação é vedada aos Sócios Sujeitos à Retenção qualquer distribuição de lucros, dividendos, juros sobre capital próprio, redução de capital com restituição, resgate ou reembolso, ressalvados os itens 4 e 6.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5.2.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retenção não alcança os frutos devidos aos usufrutuários, pagos na forma do item 1.2.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5.3.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Os lucros que caberiam aos Sócios Sujeitos à Retenção são destinados a reserva fundamentada em orçamento de capital aprovado anualmente em Assembleia (art. 196 da Lei 6.404/76), obrigando-se eles a votar favoravelmente a essa destinação. O Estatuto fixará o dividendo obrigatório em percentual compatível com este Anexo (art. 202).</w:t>
      </w:r>
    </w:p>
    <w:p>
      <w:pPr>
        <w:keepNext/>
        <w:spacing w:after="130" w:before="225" w:line="26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  EXCEÇÕES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6.1.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Não configuram distribuição vedada: (a) as parcelas do ITCMD da doação das participações e os custos dos atos societários e registrais correlatos; (b) o pró-labore, em valor de mercado aprovado em Assembleia, dos sócios que exerçam função na Companhia ou em suas controladas; (c) o reembolso de despesas comprovadas no interesse da Companhia; (d) a devolução de mútuo formalizado com juros de mercado e encargos recolhidos.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6.2.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Durante a retenção é vedado o pagamento de despesas pessoais de Sócio Sujeito à Retenção pela Companhia ou controladas, o mútuo a sócio ou parte relacionada sem contrato e juros de mercado, a contratação fora de mercado e o desvio de oportunidade de negócio. A violação obriga à restituição integral e corrigida.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6.3.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As sociedades do grupo manterão contabilidades segregadas e formalizarão por contrato escrito as relações entre si.</w:t>
      </w:r>
    </w:p>
    <w:p>
      <w:pPr>
        <w:keepNext/>
        <w:spacing w:after="130" w:before="225" w:line="26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7.  VERIFICAÇÃO E DATA DE LIBERAÇÃO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7.1.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administração apresentará relatório semestral de progresso. Entendendo as Metas cumpridas, convocará Assembleia instruída com balancete de até 30 dias, declaração do contador, comprovação da extinção de cada obrigação e as certidões e consultas do item 3.2.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7.2.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Assembleia declarará em ata a Data de Liberação. Qualquer sócio pode requerer, às suas expensas, verificação independente antes da deliberação.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7.3.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partir da Data de Liberação, a distribuição observa a deliberação da Assembleia e o Estatuto, vedada a redução do caixa abaixo do valor da Meta II, que passa a ser piso permanente.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7.4.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 distribuição fica automaticamente suspensa se for revelada obrigação do Perímetro anterior à declaração e dela não constante, ou se o caixa cair abaixo do piso, até o restabelecimento da condição.</w:t>
      </w:r>
    </w:p>
    <w:p>
      <w:pPr>
        <w:keepNext/>
        <w:spacing w:after="130" w:before="225" w:line="26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8.  AUSÊNCIA DE PRAZO</w:t>
      </w:r>
    </w:p>
    <w:p>
      <w:pPr>
        <w:spacing w:after="13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8.1.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Não há prazo mínimo nem máximo para o cumprimento das Metas, e nenhum decurso de tempo produz liberação automática.</w:t>
      </w:r>
    </w:p>
    <w:p>
      <w:pPr>
        <w:spacing w:after="0" w:before="0" w:line="264" w:lineRule="auto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8.2.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Decorridos 60 meses sem cumprimento integral, a Assembleia revisará o plano de execução. A revisão não flexibiliza nem dispensa as Metas, o que dependerá de deliberação específica pelo quórum de alteração do Acordo.</w:t>
      </w:r>
    </w:p>
    <w:sectPr>
      <w:footerReference w:type="default" r:id="rId7"/>
      <w:pgSz w:w="12240" w:h="15840" w:orient="portrait"/>
      <w:pgMar w:top="1040" w:right="1220" w:bottom="860" w:left="122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 w:space="6"/>
      </w:pBdr>
      <w:spacing w:after="0"/>
    </w:pPr>
    <w:r>
      <w:rPr>
        <w:rFonts w:ascii="Times New Roman" w:cs="Times New Roman" w:eastAsia="Times New Roman" w:hAnsi="Times New Roman"/>
        <w:i/>
        <w:iCs/>
        <w:color w:val="444444"/>
        <w:sz w:val="16"/>
        <w:szCs w:val="16"/>
      </w:rPr>
      <w:t xml:space="preserve">Minuta de trabalho, versão 3.0. Não constitui parecer jurídico; sujeita à revisão do advogado da família e de tributarista antes da assinatura.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 - Criterios de Destinacao de Resultados</dc:title>
  <dc:creator>Grupo Grison</dc:creator>
  <cp:lastModifiedBy>Un-named</cp:lastModifiedBy>
  <cp:revision>1</cp:revision>
  <dcterms:created xsi:type="dcterms:W3CDTF">2026-08-18T20:37:19.970Z</dcterms:created>
  <dcterms:modified xsi:type="dcterms:W3CDTF">2026-08-18T20:37:19.970Z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