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87DFB">
      <w:pPr>
        <w:rPr>
          <w:rFonts w:ascii="宋体" w:hAnsi="宋体" w:eastAsia="宋体"/>
          <w:sz w:val="30"/>
          <w:szCs w:val="30"/>
        </w:rPr>
      </w:pPr>
      <w:r>
        <w:rPr>
          <w:rFonts w:hint="eastAsia" w:ascii="宋体" w:hAnsi="宋体" w:eastAsia="宋体" w:cs="Arial"/>
          <w:b/>
          <w:sz w:val="30"/>
          <w:szCs w:val="30"/>
        </w:rPr>
        <w:t xml:space="preserve">任务1.7 </w:t>
      </w:r>
      <w:r>
        <w:rPr>
          <w:rFonts w:hint="eastAsia" w:ascii="宋体" w:hAnsi="宋体" w:eastAsia="宋体" w:cs="Arial"/>
          <w:b/>
          <w:sz w:val="30"/>
          <w:szCs w:val="30"/>
          <w:lang w:val="en-US" w:eastAsia="zh-CN"/>
        </w:rPr>
        <w:t>先进</w:t>
      </w:r>
      <w:bookmarkStart w:id="0" w:name="_GoBack"/>
      <w:bookmarkEnd w:id="0"/>
      <w:r>
        <w:rPr>
          <w:rFonts w:hint="eastAsia" w:ascii="宋体" w:hAnsi="宋体" w:eastAsia="宋体" w:cs="Arial"/>
          <w:b/>
          <w:sz w:val="30"/>
          <w:szCs w:val="30"/>
        </w:rPr>
        <w:t>近场表征研究内容</w:t>
      </w:r>
    </w:p>
    <w:p w14:paraId="4918255B">
      <w:pPr>
        <w:spacing w:before="320" w:after="120" w:line="288" w:lineRule="auto"/>
        <w:outlineLvl w:val="1"/>
        <w:rPr>
          <w:rFonts w:ascii="宋体" w:hAnsi="宋体" w:eastAsia="宋体" w:cs="Arial"/>
          <w:b/>
          <w:bCs/>
          <w:sz w:val="28"/>
          <w:szCs w:val="28"/>
        </w:rPr>
      </w:pPr>
      <w:r>
        <w:rPr>
          <w:rFonts w:hint="eastAsia" w:ascii="宋体" w:hAnsi="宋体" w:eastAsia="宋体" w:cs="Arial"/>
          <w:b/>
          <w:bCs/>
          <w:sz w:val="28"/>
          <w:szCs w:val="28"/>
        </w:rPr>
        <w:t>一、研究内容</w:t>
      </w:r>
    </w:p>
    <w:p w14:paraId="654E0012">
      <w:pPr>
        <w:spacing w:line="360" w:lineRule="auto"/>
        <w:ind w:firstLine="420"/>
        <w:rPr>
          <w:b/>
          <w:bCs/>
          <w:sz w:val="24"/>
        </w:rPr>
      </w:pPr>
      <w:r>
        <w:rPr>
          <w:rFonts w:hint="eastAsia" w:ascii="宋体" w:hAnsi="宋体" w:eastAsia="宋体" w:cs="Arial"/>
          <w:b/>
          <w:bCs/>
          <w:sz w:val="24"/>
          <w14:ligatures w14:val="standardContextual"/>
        </w:rPr>
        <w:t>面向三维集成对新型功能薄膜材料应用的需求</w:t>
      </w:r>
      <w:r>
        <w:rPr>
          <w:rFonts w:hint="eastAsia"/>
          <w:b/>
          <w:bCs/>
          <w:sz w:val="24"/>
        </w:rPr>
        <w:t>，开展纳米尺度性质的高分辨近场表征研究。</w:t>
      </w:r>
    </w:p>
    <w:p w14:paraId="7C65A327">
      <w:pPr>
        <w:spacing w:before="320" w:after="120" w:line="288" w:lineRule="auto"/>
        <w:outlineLvl w:val="1"/>
        <w:rPr>
          <w:rFonts w:ascii="宋体" w:hAnsi="宋体" w:eastAsia="宋体"/>
          <w:sz w:val="28"/>
          <w:szCs w:val="28"/>
        </w:rPr>
      </w:pPr>
      <w:r>
        <w:rPr>
          <w:rFonts w:hint="eastAsia" w:ascii="宋体" w:hAnsi="宋体" w:eastAsia="宋体" w:cs="Arial"/>
          <w:b/>
          <w:sz w:val="28"/>
          <w:szCs w:val="28"/>
        </w:rPr>
        <w:t>二</w:t>
      </w:r>
      <w:r>
        <w:rPr>
          <w:rFonts w:ascii="宋体" w:hAnsi="宋体" w:eastAsia="宋体" w:cs="Arial"/>
          <w:b/>
          <w:sz w:val="28"/>
          <w:szCs w:val="28"/>
        </w:rPr>
        <w:t>、</w:t>
      </w:r>
      <w:r>
        <w:rPr>
          <w:rFonts w:hint="eastAsia" w:ascii="宋体" w:hAnsi="宋体" w:eastAsia="宋体" w:cs="Arial"/>
          <w:b/>
          <w:sz w:val="28"/>
          <w:szCs w:val="28"/>
        </w:rPr>
        <w:t>预期成果</w:t>
      </w:r>
    </w:p>
    <w:p w14:paraId="16BFEA9C">
      <w:pPr>
        <w:spacing w:before="120" w:after="120" w:line="288" w:lineRule="auto"/>
        <w:ind w:firstLine="480" w:firstLineChars="200"/>
        <w:rPr>
          <w:rFonts w:ascii="宋体" w:hAnsi="宋体" w:eastAsia="宋体" w:cs="Arial"/>
          <w:b/>
          <w:bCs/>
          <w:sz w:val="24"/>
        </w:rPr>
      </w:pPr>
      <w:r>
        <w:rPr>
          <w:rFonts w:hint="eastAsia" w:ascii="宋体" w:hAnsi="宋体" w:eastAsia="宋体" w:cs="Arial"/>
          <w:b/>
          <w:bCs/>
          <w:sz w:val="24"/>
        </w:rPr>
        <w:t>形成面向</w:t>
      </w:r>
      <w:r>
        <w:rPr>
          <w:rFonts w:ascii="宋体" w:hAnsi="宋体" w:eastAsia="宋体" w:cs="Arial"/>
          <w:b/>
          <w:bCs/>
          <w:sz w:val="24"/>
        </w:rPr>
        <w:t>新型功能薄膜材料三维集成应用的高分辨局域表征与界面可靠性评价能力。</w:t>
      </w:r>
    </w:p>
    <w:p w14:paraId="378688E4">
      <w:pPr>
        <w:spacing w:before="320" w:after="120" w:line="288" w:lineRule="auto"/>
        <w:outlineLvl w:val="1"/>
        <w:rPr>
          <w:rFonts w:ascii="宋体" w:hAnsi="宋体" w:eastAsia="宋体" w:cs="Arial"/>
          <w:b/>
          <w:bCs/>
          <w:sz w:val="28"/>
          <w:szCs w:val="28"/>
        </w:rPr>
      </w:pPr>
      <w:r>
        <w:rPr>
          <w:rFonts w:hint="eastAsia" w:ascii="宋体" w:hAnsi="宋体" w:eastAsia="宋体" w:cs="Arial"/>
          <w:b/>
          <w:bCs/>
          <w:sz w:val="28"/>
          <w:szCs w:val="28"/>
        </w:rPr>
        <w:t>三、</w:t>
      </w:r>
      <w:r>
        <w:rPr>
          <w:rFonts w:ascii="宋体" w:hAnsi="宋体" w:eastAsia="宋体" w:cs="Arial"/>
          <w:b/>
          <w:bCs/>
          <w:sz w:val="28"/>
          <w:szCs w:val="28"/>
        </w:rPr>
        <w:t>意义</w:t>
      </w:r>
    </w:p>
    <w:p w14:paraId="737B3A0A">
      <w:pPr>
        <w:spacing w:before="240" w:after="240" w:line="288" w:lineRule="auto"/>
        <w:ind w:firstLine="480" w:firstLineChars="200"/>
        <w:rPr>
          <w:rFonts w:ascii="宋体" w:hAnsi="宋体" w:eastAsia="宋体" w:cs="宋体"/>
          <w:sz w:val="24"/>
        </w:rPr>
      </w:pPr>
      <w:r>
        <w:rPr>
          <w:rFonts w:hint="eastAsia" w:ascii="宋体" w:hAnsi="宋体" w:eastAsia="宋体" w:cs="宋体"/>
          <w:sz w:val="24"/>
        </w:rPr>
        <w:t>随着先进制程成本持续上升、单芯片集成难度不断增大，基于三维集成的技术路线，正成为高性能计算、智能感知和高端通信系统演进的重要方向，直接关系到高端芯片系统实现能力、产业链安全和电子信息产业国际竞争力。当前国际竞争已聚焦于</w:t>
      </w:r>
      <w:r>
        <w:rPr>
          <w:rFonts w:hint="eastAsia" w:ascii="宋体" w:hAnsi="宋体" w:eastAsia="宋体" w:cs="宋体"/>
          <w:sz w:val="24"/>
          <w:lang w:val="en-US" w:eastAsia="zh-CN"/>
        </w:rPr>
        <w:t>三维封装集成材料</w:t>
      </w:r>
      <w:r>
        <w:rPr>
          <w:rFonts w:hint="eastAsia" w:ascii="宋体" w:hAnsi="宋体" w:eastAsia="宋体" w:cs="宋体"/>
          <w:sz w:val="24"/>
        </w:rPr>
        <w:t>的相稳定性、缺陷控制、漏电抑制、极化一致性、界面可靠性和工程可集成性。我国在</w:t>
      </w:r>
      <w:r>
        <w:rPr>
          <w:rFonts w:hint="eastAsia" w:ascii="宋体" w:hAnsi="宋体" w:eastAsia="宋体" w:cs="宋体"/>
          <w:sz w:val="24"/>
          <w:lang w:val="en-US" w:eastAsia="zh-CN"/>
        </w:rPr>
        <w:t>三维封装集成</w:t>
      </w:r>
      <w:r>
        <w:rPr>
          <w:rFonts w:hint="eastAsia" w:ascii="宋体" w:hAnsi="宋体" w:eastAsia="宋体" w:cs="宋体"/>
          <w:sz w:val="24"/>
        </w:rPr>
        <w:t>材料机理研究和工程化评价方面仍较薄弱，若不能尽快建立系统研究能力，将难以建成高端功能集成能力。</w:t>
      </w:r>
    </w:p>
    <w:p w14:paraId="420644C3">
      <w:pPr>
        <w:spacing w:before="240" w:after="240" w:line="288" w:lineRule="auto"/>
        <w:ind w:firstLine="480" w:firstLineChars="200"/>
        <w:rPr>
          <w:rFonts w:ascii="宋体" w:hAnsi="宋体" w:eastAsia="宋体" w:cs="宋体"/>
          <w:sz w:val="24"/>
        </w:rPr>
      </w:pPr>
      <w:r>
        <w:rPr>
          <w:rFonts w:hint="eastAsia" w:ascii="宋体" w:hAnsi="宋体" w:eastAsia="宋体" w:cs="宋体"/>
          <w:sz w:val="24"/>
        </w:rPr>
        <w:t>国际上，</w:t>
      </w:r>
      <w:r>
        <w:rPr>
          <w:rFonts w:hint="eastAsia" w:ascii="宋体" w:hAnsi="宋体" w:eastAsia="宋体" w:cs="宋体"/>
          <w:sz w:val="24"/>
          <w:lang w:val="en-US" w:eastAsia="zh-CN"/>
        </w:rPr>
        <w:t>三维封装集成材料</w:t>
      </w:r>
      <w:r>
        <w:rPr>
          <w:rFonts w:hint="eastAsia" w:ascii="宋体" w:hAnsi="宋体" w:eastAsia="宋体" w:cs="宋体"/>
          <w:sz w:val="24"/>
        </w:rPr>
        <w:t>研究已由早期功能验证，快速转向</w:t>
      </w:r>
      <w:r>
        <w:rPr>
          <w:rFonts w:hint="eastAsia" w:ascii="宋体" w:hAnsi="宋体" w:eastAsia="宋体" w:cs="宋体"/>
          <w:sz w:val="24"/>
          <w:lang w:val="en-US" w:eastAsia="zh-CN"/>
        </w:rPr>
        <w:t>工控环境下</w:t>
      </w:r>
      <w:r>
        <w:rPr>
          <w:rFonts w:hint="eastAsia" w:ascii="宋体" w:hAnsi="宋体" w:eastAsia="宋体" w:cs="宋体"/>
          <w:sz w:val="24"/>
        </w:rPr>
        <w:t>的相结构稳定性、局域缺陷控制、漏电机制、薄膜一致性以及平台工艺兼容性等更深层问题。与此同时，近场红外和太赫兹技术已在半导体与功能薄膜材料领域广泛用于研究局域晶格响应、载流子输运、界面耦合和纳米尺度失效行为，已成为解析半导体材料微观机制的重要手段。总体上，国际竞争重点在厘清科学技术瓶颈、建立评价方法、形成工艺反馈能力。相比之下，国内</w:t>
      </w:r>
      <w:r>
        <w:rPr>
          <w:rFonts w:hint="eastAsia" w:ascii="宋体" w:hAnsi="宋体" w:eastAsia="宋体" w:cs="宋体"/>
          <w:sz w:val="24"/>
          <w:lang w:val="en-US" w:eastAsia="zh-CN"/>
        </w:rPr>
        <w:t>三维封装集成材料</w:t>
      </w:r>
      <w:r>
        <w:rPr>
          <w:rFonts w:hint="eastAsia" w:ascii="宋体" w:hAnsi="宋体" w:eastAsia="宋体" w:cs="宋体"/>
          <w:sz w:val="24"/>
        </w:rPr>
        <w:t>研究总体仍以材料制备、常规电学和初步器件验证为主，在三维集成条件下，针对</w:t>
      </w:r>
      <w:r>
        <w:rPr>
          <w:rFonts w:hint="eastAsia" w:ascii="宋体" w:hAnsi="宋体" w:eastAsia="宋体" w:cs="宋体"/>
          <w:sz w:val="24"/>
          <w:lang w:val="en-US" w:eastAsia="zh-CN"/>
        </w:rPr>
        <w:t>三维封装集成材料</w:t>
      </w:r>
      <w:r>
        <w:rPr>
          <w:rFonts w:hint="eastAsia" w:ascii="宋体" w:hAnsi="宋体" w:eastAsia="宋体" w:cs="宋体"/>
          <w:sz w:val="24"/>
        </w:rPr>
        <w:t>与电极、衬底、基板及互连结构之间的界面稳定性、局域应力效应和长期可靠性问题，缺乏系统研究布局。当前短板不只是样品和器件数量不足，更在于缺少把局域成分、晶格、缺陷、输运和界面状态统一联系起来的高分辨表征能力。国际上该方向尚未形成完备框架，国内仍存在布局窗口期。</w:t>
      </w:r>
    </w:p>
    <w:p w14:paraId="1118A499">
      <w:pPr>
        <w:spacing w:before="240" w:after="240" w:line="288" w:lineRule="auto"/>
        <w:ind w:firstLine="480" w:firstLineChars="200"/>
        <w:rPr>
          <w:rFonts w:ascii="宋体" w:hAnsi="宋体" w:eastAsia="宋体" w:cs="宋体"/>
          <w:sz w:val="24"/>
        </w:rPr>
      </w:pPr>
      <w:r>
        <w:rPr>
          <w:rFonts w:hint="eastAsia" w:ascii="宋体" w:hAnsi="宋体" w:eastAsia="宋体" w:cs="宋体"/>
          <w:sz w:val="24"/>
        </w:rPr>
        <w:t>开展</w:t>
      </w:r>
      <w:r>
        <w:rPr>
          <w:rFonts w:hint="eastAsia" w:ascii="宋体" w:hAnsi="宋体" w:eastAsia="宋体" w:cs="宋体"/>
          <w:sz w:val="24"/>
          <w:lang w:val="en-US" w:eastAsia="zh-CN"/>
        </w:rPr>
        <w:t>新型</w:t>
      </w:r>
      <w:r>
        <w:rPr>
          <w:rFonts w:hint="eastAsia" w:ascii="宋体" w:hAnsi="宋体" w:eastAsia="宋体" w:cs="宋体"/>
          <w:sz w:val="24"/>
          <w:lang w:val="en-US" w:eastAsia="zh-CN"/>
        </w:rPr>
        <w:t>三维封装集成材料</w:t>
      </w:r>
      <w:r>
        <w:rPr>
          <w:rFonts w:hint="eastAsia" w:ascii="宋体" w:hAnsi="宋体" w:eastAsia="宋体" w:cs="宋体"/>
          <w:sz w:val="24"/>
        </w:rPr>
        <w:t>封装适配性、界面可靠性及高分辨局域性能表征研究，应具备以下基础：一是具备面向微观物性—宏观性能研究的近场红外/太赫兹表征能力。近场红外表征应能够对局域晶格振动、相结构异常和应力相关信号进行高灵敏探测，太赫兹近场表征应能够对局域电导、载流子输运和界面耦合行为进行高分辨研究，两者共同支撑</w:t>
      </w:r>
      <w:r>
        <w:rPr>
          <w:rFonts w:hint="eastAsia" w:ascii="宋体" w:hAnsi="宋体" w:eastAsia="宋体" w:cs="宋体"/>
          <w:sz w:val="24"/>
          <w:lang w:val="en-US" w:eastAsia="zh-CN"/>
        </w:rPr>
        <w:t>三维封装集成材料</w:t>
      </w:r>
      <w:r>
        <w:rPr>
          <w:rFonts w:hint="eastAsia" w:ascii="宋体" w:hAnsi="宋体" w:eastAsia="宋体" w:cs="宋体"/>
          <w:sz w:val="24"/>
        </w:rPr>
        <w:t>的微观物性与宏观性能关联的机理研究。二是具备从局域信号提取材料物理性质的研究能力，能够将近场响应与成分波动、相结构变化、缺陷态演化、界面应力和输运异常等过程建立对应关系。三是具备材料生长、器件制备及多手段协同验证条件，形成近场表征与电子显微镜、电学和可靠性等测试之间的交叉验证体系。四是具备将表征结果反馈至薄膜生长、三维集成工艺优化的能力，形成研究闭环。</w:t>
      </w:r>
    </w:p>
    <w:p w14:paraId="72A3DF20">
      <w:pPr>
        <w:spacing w:before="240" w:after="240" w:line="288" w:lineRule="auto"/>
        <w:ind w:firstLine="480" w:firstLineChars="200"/>
        <w:rPr>
          <w:rFonts w:ascii="宋体" w:hAnsi="宋体" w:eastAsia="宋体" w:cs="宋体"/>
          <w:sz w:val="24"/>
        </w:rPr>
      </w:pPr>
      <w:r>
        <w:rPr>
          <w:rFonts w:hint="eastAsia" w:ascii="宋体" w:hAnsi="宋体" w:eastAsia="宋体" w:cs="宋体"/>
          <w:sz w:val="24"/>
        </w:rPr>
        <w:t>围绕</w:t>
      </w:r>
      <w:r>
        <w:rPr>
          <w:rFonts w:hint="eastAsia" w:ascii="宋体" w:hAnsi="宋体" w:eastAsia="宋体" w:cs="宋体"/>
          <w:sz w:val="24"/>
          <w:lang w:val="en-US" w:eastAsia="zh-CN"/>
        </w:rPr>
        <w:t>三维封装集成材料</w:t>
      </w:r>
      <w:r>
        <w:rPr>
          <w:rFonts w:hint="eastAsia" w:ascii="宋体" w:hAnsi="宋体" w:eastAsia="宋体" w:cs="宋体"/>
          <w:sz w:val="24"/>
        </w:rPr>
        <w:t>的应用需求，建议部署四项任务：一是建立面向</w:t>
      </w:r>
      <w:r>
        <w:rPr>
          <w:rFonts w:hint="eastAsia" w:ascii="宋体" w:hAnsi="宋体" w:eastAsia="宋体" w:cs="宋体"/>
          <w:sz w:val="24"/>
          <w:lang w:val="en-US" w:eastAsia="zh-CN"/>
        </w:rPr>
        <w:t>三维封装集成材料</w:t>
      </w:r>
      <w:r>
        <w:rPr>
          <w:rFonts w:hint="eastAsia" w:ascii="宋体" w:hAnsi="宋体" w:eastAsia="宋体" w:cs="宋体"/>
          <w:sz w:val="24"/>
        </w:rPr>
        <w:t>薄膜、界面和器件结构的近场红外/太赫兹高分辨近场表征方法，形成对局域晶格响应、相结构异常、应力状态、载流子输运的多参量诊断能力。二是针对</w:t>
      </w:r>
      <w:r>
        <w:rPr>
          <w:rFonts w:hint="eastAsia" w:ascii="宋体" w:hAnsi="宋体" w:eastAsia="宋体" w:cs="宋体"/>
          <w:sz w:val="24"/>
          <w:lang w:val="en-US" w:eastAsia="zh-CN"/>
        </w:rPr>
        <w:t>三维封装集成材料</w:t>
      </w:r>
      <w:r>
        <w:rPr>
          <w:rFonts w:hint="eastAsia" w:ascii="宋体" w:hAnsi="宋体" w:eastAsia="宋体" w:cs="宋体"/>
          <w:sz w:val="24"/>
        </w:rPr>
        <w:t>与电极、衬底、基板和互连结构形成的关键界面，研究局域成分波动、晶格畸变、应力集中、相杂质萌生及位错/缺陷富集规律，识别影响三维集成和界面稳定性的主导因素。三是结合近场红外对局域晶格异常的敏感性和太赫兹近场对局域载流子输运的敏感性，研究界面约束下</w:t>
      </w:r>
      <w:r>
        <w:rPr>
          <w:rFonts w:hint="eastAsia" w:ascii="宋体" w:hAnsi="宋体" w:eastAsia="宋体" w:cs="宋体"/>
          <w:sz w:val="24"/>
          <w:lang w:val="en-US" w:eastAsia="zh-CN"/>
        </w:rPr>
        <w:t>三维封装集成材料</w:t>
      </w:r>
      <w:r>
        <w:rPr>
          <w:rFonts w:hint="eastAsia" w:ascii="宋体" w:hAnsi="宋体" w:eastAsia="宋体" w:cs="宋体"/>
          <w:sz w:val="24"/>
        </w:rPr>
        <w:t>的漏电增大、极化不稳定和一致性下降机制，建立局域缺陷、载流子输运与宏观失效之间的关联。四是将近场红外/太赫兹表征与电子显微镜、电学和可靠性等测试系统联动，获得</w:t>
      </w:r>
      <w:r>
        <w:rPr>
          <w:rFonts w:hint="eastAsia" w:ascii="宋体" w:hAnsi="宋体" w:eastAsia="宋体" w:cs="宋体"/>
          <w:sz w:val="24"/>
          <w:lang w:val="en-US" w:eastAsia="zh-CN"/>
        </w:rPr>
        <w:t>三维封装集成</w:t>
      </w:r>
      <w:r>
        <w:rPr>
          <w:rFonts w:hint="eastAsia" w:ascii="宋体" w:hAnsi="宋体" w:eastAsia="宋体" w:cs="宋体"/>
          <w:sz w:val="24"/>
        </w:rPr>
        <w:t>材料质量、界面状态和封装可靠性的关键局域指标，并反馈</w:t>
      </w:r>
      <w:r>
        <w:rPr>
          <w:rFonts w:hint="eastAsia" w:ascii="宋体" w:hAnsi="宋体" w:eastAsia="宋体" w:cs="宋体"/>
          <w:sz w:val="24"/>
          <w:lang w:val="en-US" w:eastAsia="zh-CN"/>
        </w:rPr>
        <w:t>元素</w:t>
      </w:r>
      <w:r>
        <w:rPr>
          <w:rFonts w:hint="eastAsia" w:ascii="宋体" w:hAnsi="宋体" w:eastAsia="宋体" w:cs="宋体"/>
          <w:sz w:val="24"/>
        </w:rPr>
        <w:t>含量优化、界面层设计、电极选择和封装工艺调控，形成面向工程应用的评价与优化路径。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Arial">
    <w:panose1 w:val="020B0604020202090204"/>
    <w:charset w:val="00"/>
    <w:family w:val="swiss"/>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FB0C46"/>
    <w:rsid w:val="0044644A"/>
    <w:rsid w:val="004708E1"/>
    <w:rsid w:val="005544AF"/>
    <w:rsid w:val="00597ACC"/>
    <w:rsid w:val="00A659A0"/>
    <w:rsid w:val="0703310E"/>
    <w:rsid w:val="0A1B1122"/>
    <w:rsid w:val="0AB04E98"/>
    <w:rsid w:val="0D2F513B"/>
    <w:rsid w:val="0EA84B58"/>
    <w:rsid w:val="10E5485B"/>
    <w:rsid w:val="12CE698E"/>
    <w:rsid w:val="16EC01AC"/>
    <w:rsid w:val="176D19FF"/>
    <w:rsid w:val="18F63C9B"/>
    <w:rsid w:val="1A4E1AB7"/>
    <w:rsid w:val="1B1A25DA"/>
    <w:rsid w:val="1D575BA7"/>
    <w:rsid w:val="217F33D7"/>
    <w:rsid w:val="22B82F6C"/>
    <w:rsid w:val="2680332A"/>
    <w:rsid w:val="28A1236E"/>
    <w:rsid w:val="298A6036"/>
    <w:rsid w:val="2A9D69AB"/>
    <w:rsid w:val="2C773801"/>
    <w:rsid w:val="302C2998"/>
    <w:rsid w:val="315C1650"/>
    <w:rsid w:val="31FB0C46"/>
    <w:rsid w:val="329F4A6E"/>
    <w:rsid w:val="3AF947CF"/>
    <w:rsid w:val="3D857C40"/>
    <w:rsid w:val="3F820D3A"/>
    <w:rsid w:val="40642521"/>
    <w:rsid w:val="4219017E"/>
    <w:rsid w:val="480004B0"/>
    <w:rsid w:val="490865B4"/>
    <w:rsid w:val="4B3B1EFC"/>
    <w:rsid w:val="4E620EF0"/>
    <w:rsid w:val="4E884B66"/>
    <w:rsid w:val="576E262C"/>
    <w:rsid w:val="58682C37"/>
    <w:rsid w:val="5987179D"/>
    <w:rsid w:val="5A10384E"/>
    <w:rsid w:val="64A62FAD"/>
    <w:rsid w:val="6A8678B2"/>
    <w:rsid w:val="6CD55BE9"/>
    <w:rsid w:val="6F6A7287"/>
    <w:rsid w:val="70270F23"/>
    <w:rsid w:val="72004FC5"/>
    <w:rsid w:val="73163537"/>
    <w:rsid w:val="76726F0E"/>
    <w:rsid w:val="76FF45C0"/>
    <w:rsid w:val="7872065F"/>
    <w:rsid w:val="7872532D"/>
    <w:rsid w:val="78A33979"/>
    <w:rsid w:val="79544D33"/>
    <w:rsid w:val="796C5147"/>
    <w:rsid w:val="7CD5482B"/>
    <w:rsid w:val="7F4614A5"/>
    <w:rsid w:val="FDA40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qFormat/>
    <w:uiPriority w:val="0"/>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228</Words>
  <Characters>1305</Characters>
  <Lines>10</Lines>
  <Paragraphs>3</Paragraphs>
  <TotalTime>4</TotalTime>
  <ScaleCrop>false</ScaleCrop>
  <LinksUpToDate>false</LinksUpToDate>
  <CharactersWithSpaces>1530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2026-03-24T16:05:00Z</dcterms:created>
  <dc:creator>MF XUE</dc:creator>
  <cp:lastModifiedBy>Tong Yi 童祎</cp:lastModifiedBy>
  <dcterms:modified xsi:type="dcterms:W3CDTF">2026-03-25T11:42:07Z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812508EDFC2D402DA7073BB3859CA2F2_13</vt:lpwstr>
  </property>
  <property fmtid="{D5CDD505-2E9C-101B-9397-08002B2CF9AE}" pid="4" name="KSOTemplateDocerSaveRecord">
    <vt:lpwstr>eyJoZGlkIjoiZDliOWM2MzNlZjk4NTNhNjlmZThmZjcxNGE1Y2Q0ZmIiLCJ1c2VySWQiOiIyNTQ4Mzk1NDgifQ==</vt:lpwstr>
  </property>
</Properties>
</file>