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面向智能驾驶端侧系统的晶上异构集成智能芯粒技术研究及测试标准制定"/>
    <w:p>
      <w:pPr>
        <w:pStyle w:val="Heading1"/>
      </w:pPr>
      <w:r>
        <w:t xml:space="preserve">面向智能驾驶端侧系统的晶上异构集成智能芯粒技术研究及测试标准制定</w:t>
      </w:r>
    </w:p>
    <w:p>
      <w:pPr>
        <w:pStyle w:val="FirstParagraph"/>
      </w:pPr>
      <w:r>
        <w:rPr>
          <w:bCs/>
          <w:b/>
        </w:rPr>
        <w:t xml:space="preserve">申报领域：</w:t>
      </w:r>
      <w:r>
        <w:t xml:space="preserve"> </w:t>
      </w:r>
      <w:r>
        <w:t xml:space="preserve">硬科技（车规级芯片与智能驾驶系统）</w:t>
      </w:r>
      <w:r>
        <w:br/>
      </w:r>
      <w:r>
        <w:rPr>
          <w:bCs/>
          <w:b/>
        </w:rPr>
        <w:t xml:space="preserve">依托单位：</w:t>
      </w:r>
      <w:r>
        <w:t xml:space="preserve"> </w:t>
      </w:r>
      <w:r>
        <w:t xml:space="preserve">天津大学微电子学院 / 中国汽车芯片研究中心</w:t>
      </w:r>
      <w:r>
        <w:br/>
      </w:r>
      <w:r>
        <w:rPr>
          <w:bCs/>
          <w:b/>
        </w:rPr>
        <w:t xml:space="preserve">合作申报：</w:t>
      </w:r>
      <w:r>
        <w:t xml:space="preserve"> </w:t>
      </w:r>
      <w:r>
        <w:t xml:space="preserve">中国汽车集团</w:t>
      </w:r>
      <w:r>
        <w:br/>
      </w:r>
      <w:r>
        <w:rPr>
          <w:bCs/>
          <w:b/>
        </w:rPr>
        <w:t xml:space="preserve">版本：</w:t>
      </w:r>
      <w:r>
        <w:t xml:space="preserve"> </w:t>
      </w:r>
      <w:r>
        <w:t xml:space="preserve">v1（2026年3月）</w:t>
      </w:r>
    </w:p>
    <w:p>
      <w:r>
        <w:pict>
          <v:rect style="width:0;height:1.5pt" o:hralign="center" o:hrstd="t" o:hr="t"/>
        </w:pict>
      </w:r>
    </w:p>
    <w:bookmarkStart w:id="22" w:name="一背景与必要性"/>
    <w:p>
      <w:pPr>
        <w:pStyle w:val="Heading2"/>
      </w:pPr>
      <w:r>
        <w:t xml:space="preserve">一、背景与必要性</w:t>
      </w:r>
    </w:p>
    <w:bookmarkStart w:id="20" w:name="国家战略需求与中汽集团核心利益"/>
    <w:p>
      <w:pPr>
        <w:pStyle w:val="Heading3"/>
      </w:pPr>
      <w:r>
        <w:t xml:space="preserve">1.1 国家战略需求与中汽集团核心利益</w:t>
      </w:r>
    </w:p>
    <w:p>
      <w:pPr>
        <w:pStyle w:val="FirstParagraph"/>
      </w:pPr>
      <w:r>
        <w:t xml:space="preserve">智能驾驶是汽车产业”软件定义汽车”转型的核心赛道，也是中国汽车集团赢得下一个十年竞争优势的战略支点。当前，L2+/L3级智能驾驶算法模型（多模态感知融合、端到端规划控制）参数量持续膨胀，对端侧芯片的算力密度、功耗比和模型泛化能力提出了前所未有的苛刻要求。传统基于”大算力SoC+先进制程”的堆砌路线正面临三重瓶颈：</w:t>
      </w:r>
    </w:p>
    <w:p>
      <w:pPr>
        <w:numPr>
          <w:ilvl w:val="0"/>
          <w:numId w:val="1001"/>
        </w:numPr>
        <w:pStyle w:val="Compact"/>
      </w:pPr>
      <w:r>
        <w:rPr>
          <w:bCs/>
          <w:b/>
        </w:rPr>
        <w:t xml:space="preserve">热管理瓶颈</w:t>
      </w:r>
      <w:r>
        <w:t xml:space="preserve">：车规严苛的工作温区（-40°C～125°C）与大功耗算力模块之间的结构性矛盾日益突出；</w:t>
      </w:r>
    </w:p>
    <w:p>
      <w:pPr>
        <w:numPr>
          <w:ilvl w:val="0"/>
          <w:numId w:val="1001"/>
        </w:numPr>
        <w:pStyle w:val="Compact"/>
      </w:pPr>
      <w:r>
        <w:rPr>
          <w:bCs/>
          <w:b/>
        </w:rPr>
        <w:t xml:space="preserve">泛化能力瓶颈</w:t>
      </w:r>
      <w:r>
        <w:t xml:space="preserve">：模型固化后难以动态适应多变驾驶场景，端侧推理泛化能力不足；</w:t>
      </w:r>
    </w:p>
    <w:p>
      <w:pPr>
        <w:numPr>
          <w:ilvl w:val="0"/>
          <w:numId w:val="1001"/>
        </w:numPr>
        <w:pStyle w:val="Compact"/>
      </w:pPr>
      <w:r>
        <w:rPr>
          <w:bCs/>
          <w:b/>
        </w:rPr>
        <w:t xml:space="preserve">标准缺失瓶颈</w:t>
      </w:r>
      <w:r>
        <w:t xml:space="preserve">：国内车规Chiplet及晶上智能系统尚无系统性测试规范，制约产品上车与产业生态建立。</w:t>
      </w:r>
    </w:p>
    <w:p>
      <w:pPr>
        <w:pStyle w:val="FirstParagraph"/>
      </w:pPr>
      <w:r>
        <w:t xml:space="preserve">与此同时，中国在先进制程上受制于国际封锁，如何以14nm/28nm国产工艺实现等效先进节点的智能算力，是保障汽车供应链自主可控的关键课题。</w:t>
      </w:r>
    </w:p>
    <w:bookmarkEnd w:id="20"/>
    <w:bookmarkStart w:id="21" w:name="技术范式转型的历史机遇"/>
    <w:p>
      <w:pPr>
        <w:pStyle w:val="Heading3"/>
      </w:pPr>
      <w:r>
        <w:t xml:space="preserve">1.2 技术范式转型的历史机遇</w:t>
      </w:r>
    </w:p>
    <w:p>
      <w:pPr>
        <w:pStyle w:val="FirstParagraph"/>
      </w:pPr>
      <w:r>
        <w:t xml:space="preserve">天津大学iNEST研究团队的研究表明：基于</w:t>
      </w:r>
      <w:r>
        <w:rPr>
          <w:bCs/>
          <w:b/>
        </w:rPr>
        <w:t xml:space="preserve">网络时空协同复杂度（CST）</w:t>
      </w:r>
      <w:r>
        <w:t xml:space="preserve">的物理智能涌现机制——即”复杂网络×简单节点”范式——为突破上述瓶颈提供了全新路径。其核心洞察是：</w:t>
      </w:r>
    </w:p>
    <w:p>
      <w:pPr>
        <w:pStyle w:val="BlockText"/>
      </w:pPr>
      <w:r>
        <w:rPr>
          <w:bCs/>
          <w:b/>
        </w:rPr>
        <w:t xml:space="preserve">智能行为并非源于单节点算力的堆砌，而是涌现自具有高时空协同复杂度的物理互连网络。</w:t>
      </w:r>
    </w:p>
    <w:p>
      <w:pPr>
        <w:pStyle w:val="FirstParagraph"/>
      </w:pPr>
      <w:r>
        <w:t xml:space="preserve">软件定义晶上系统（SDSoW）正是这一理论的工程实现载体：通过在晶圆级尺度构建具有非线性特性的异构集成网络（数字逻辑 + 忆阻器 + 传感器芯粒），可在国产工艺条件下实现超越传统SoC的端侧推理效能，并天然具备网络拓扑可重构的模型泛化优势。</w:t>
      </w:r>
    </w:p>
    <w:p>
      <w:pPr>
        <w:pStyle w:val="BodyText"/>
      </w:pPr>
      <w:r>
        <w:rPr>
          <w:bCs/>
          <w:b/>
        </w:rPr>
        <w:t xml:space="preserve">本项目正是上述理论突破与中汽集团车规芯片战略需求的精确交汇点。</w:t>
      </w:r>
    </w:p>
    <w:p>
      <w:r>
        <w:pict>
          <v:rect style="width:0;height:1.5pt" o:hralign="center" o:hrstd="t" o:hr="t"/>
        </w:pict>
      </w:r>
    </w:p>
    <w:bookmarkEnd w:id="21"/>
    <w:bookmarkEnd w:id="22"/>
    <w:bookmarkStart w:id="23" w:name="二研究目标"/>
    <w:p>
      <w:pPr>
        <w:pStyle w:val="Heading2"/>
      </w:pPr>
      <w:r>
        <w:t xml:space="preserve">二、研究目标</w:t>
      </w:r>
    </w:p>
    <w:p>
      <w:pPr>
        <w:pStyle w:val="FirstParagraph"/>
      </w:pPr>
      <w:r>
        <w:t xml:space="preserve">面向智能驾驶端侧系统在严苛车规环境下的算力与泛化双重需求，以</w:t>
      </w:r>
      <w:r>
        <w:rPr>
          <w:bCs/>
          <w:b/>
        </w:rPr>
        <w:t xml:space="preserve">网络时空协同复杂度驱动物理智能涌现</w:t>
      </w:r>
      <w:r>
        <w:t xml:space="preserve">为核心理念，联合天津大学（算法优化、具身智能）与中国汽车芯片研究中心（车规标准、测试体系），研究面向智驾的晶上异构集成智能芯粒技术，并填补国内车规Chiplet测试标准空白，形成具有自主知识产权、可量产上车的技术与标准体系。</w:t>
      </w:r>
    </w:p>
    <w:p>
      <w:r>
        <w:pict>
          <v:rect style="width:0;height:1.5pt" o:hralign="center" o:hrstd="t" o:hr="t"/>
        </w:pict>
      </w:r>
    </w:p>
    <w:bookmarkEnd w:id="23"/>
    <w:bookmarkStart w:id="27" w:name="三研究内容"/>
    <w:p>
      <w:pPr>
        <w:pStyle w:val="Heading2"/>
      </w:pPr>
      <w:r>
        <w:t xml:space="preserve">三、研究内容</w:t>
      </w:r>
    </w:p>
    <w:bookmarkStart w:id="24" w:name="研究方向一晶上智能器件工艺技术与车规特性研究"/>
    <w:p>
      <w:pPr>
        <w:pStyle w:val="Heading3"/>
      </w:pPr>
      <w:r>
        <w:t xml:space="preserve">研究方向一：晶上智能器件工艺技术与车规特性研究</w:t>
      </w:r>
    </w:p>
    <w:p>
      <w:pPr>
        <w:pStyle w:val="FirstParagraph"/>
      </w:pPr>
      <w:r>
        <w:t xml:space="preserve">以具有非线性动力学特性的</w:t>
      </w:r>
      <w:r>
        <w:rPr>
          <w:bCs/>
          <w:b/>
        </w:rPr>
        <w:t xml:space="preserve">忆阻器</w:t>
      </w:r>
      <w:r>
        <w:t xml:space="preserve">作为网络化存算节点，开展：</w:t>
      </w:r>
    </w:p>
    <w:p>
      <w:pPr>
        <w:numPr>
          <w:ilvl w:val="0"/>
          <w:numId w:val="1002"/>
        </w:numPr>
        <w:pStyle w:val="Compact"/>
      </w:pPr>
      <w:r>
        <w:t xml:space="preserve">面向车规温区（-40°C～125°C）的忆阻器工艺开发与器件特性优化，重点研究极端温度下非线性特性的稳定性与可重复性；</w:t>
      </w:r>
    </w:p>
    <w:p>
      <w:pPr>
        <w:numPr>
          <w:ilvl w:val="0"/>
          <w:numId w:val="1002"/>
        </w:numPr>
        <w:pStyle w:val="Compact"/>
      </w:pPr>
      <w:r>
        <w:t xml:space="preserve">器件时空复杂度参数（Sc、Tc、Γst）的定量表征方法研究，建立CST指标与端侧推理性能的映射关系；</w:t>
      </w:r>
    </w:p>
    <w:p>
      <w:pPr>
        <w:numPr>
          <w:ilvl w:val="0"/>
          <w:numId w:val="1002"/>
        </w:numPr>
        <w:pStyle w:val="Compact"/>
      </w:pPr>
      <w:r>
        <w:t xml:space="preserve">忆阻器件的车规级可靠性验证（AECQ100适配），为晶上集成奠定器件基础。</w:t>
      </w:r>
    </w:p>
    <w:p>
      <w:pPr>
        <w:pStyle w:val="FirstParagraph"/>
      </w:pPr>
      <w:r>
        <w:rPr>
          <w:bCs/>
          <w:b/>
        </w:rPr>
        <w:t xml:space="preserve">与中汽战略关联：</w:t>
      </w:r>
      <w:r>
        <w:t xml:space="preserve"> </w:t>
      </w:r>
      <w:r>
        <w:t xml:space="preserve">为中国汽车芯片研究中心提供国产化非线性器件的车规认证方法论与数据库支撑。</w:t>
      </w:r>
    </w:p>
    <w:p>
      <w:r>
        <w:pict>
          <v:rect style="width:0;height:1.5pt" o:hralign="center" o:hrstd="t" o:hr="t"/>
        </w:pict>
      </w:r>
    </w:p>
    <w:bookmarkEnd w:id="24"/>
    <w:bookmarkStart w:id="25" w:name="研究方向二晶上智能异构集成微系统架构与多模态推理验证"/>
    <w:p>
      <w:pPr>
        <w:pStyle w:val="Heading3"/>
      </w:pPr>
      <w:r>
        <w:t xml:space="preserve">研究方向二：晶上智能异构集成微系统架构与多模态推理验证</w:t>
      </w:r>
    </w:p>
    <w:p>
      <w:pPr>
        <w:pStyle w:val="FirstParagraph"/>
      </w:pPr>
      <w:r>
        <w:t xml:space="preserve">围绕智驾端侧</w:t>
      </w:r>
      <w:r>
        <w:rPr>
          <w:bCs/>
          <w:b/>
        </w:rPr>
        <w:t xml:space="preserve">感知-融合-决策</w:t>
      </w:r>
      <w:r>
        <w:t xml:space="preserve">全链路，开展：</w:t>
      </w:r>
    </w:p>
    <w:p>
      <w:pPr>
        <w:numPr>
          <w:ilvl w:val="0"/>
          <w:numId w:val="1003"/>
        </w:numPr>
        <w:pStyle w:val="Compact"/>
      </w:pPr>
      <w:r>
        <w:rPr>
          <w:bCs/>
          <w:b/>
        </w:rPr>
        <w:t xml:space="preserve">晶上智能存算芯粒（iNEST-Chip）架构设计</w:t>
      </w:r>
      <w:r>
        <w:t xml:space="preserve">：基于SDSoW框架，将忆阻存算阵列与数字逻辑芯粒异构集成，构建具有可编程网络拓扑的芯粒单元，实现模型推理中的动态权重调整与CST自适应优化；</w:t>
      </w:r>
    </w:p>
    <w:p>
      <w:pPr>
        <w:numPr>
          <w:ilvl w:val="0"/>
          <w:numId w:val="1003"/>
        </w:numPr>
        <w:pStyle w:val="Compact"/>
      </w:pPr>
      <w:r>
        <w:rPr>
          <w:bCs/>
          <w:b/>
        </w:rPr>
        <w:t xml:space="preserve">面向智驾多模态大模型的端侧推理微系统</w:t>
      </w:r>
      <w:r>
        <w:t xml:space="preserve">：集成DVS事件相机、毫米波雷达等传感器芯粒，验证晶上微系统在多传感融合感知及端到端规划中的推理精度与实时性；</w:t>
      </w:r>
    </w:p>
    <w:p>
      <w:pPr>
        <w:numPr>
          <w:ilvl w:val="0"/>
          <w:numId w:val="1003"/>
        </w:numPr>
        <w:pStyle w:val="Compact"/>
      </w:pPr>
      <w:r>
        <w:rPr>
          <w:bCs/>
          <w:b/>
        </w:rPr>
        <w:t xml:space="preserve">基于CST量化的模型泛化能力评估</w:t>
      </w:r>
      <w:r>
        <w:t xml:space="preserve">：引入刘强老师团队的大模型权重量化剪枝技术，研究剪枝操作对晶上网络CST参数的影响机制，形成”剪枝-复杂度-泛化”三角关系模型；</w:t>
      </w:r>
    </w:p>
    <w:p>
      <w:pPr>
        <w:numPr>
          <w:ilvl w:val="0"/>
          <w:numId w:val="1003"/>
        </w:numPr>
        <w:pStyle w:val="Compact"/>
      </w:pPr>
      <w:r>
        <w:rPr>
          <w:bCs/>
          <w:b/>
        </w:rPr>
        <w:t xml:space="preserve">具身智能验证平台</w:t>
      </w:r>
      <w:r>
        <w:t xml:space="preserve">：依托于和善老师团队的机器人物理具身智能研究，构建基于物理位置定位的车辆感知-规划-控制闭环验证环境，测试晶上微系统在真实动态场景下的性能边界。</w:t>
      </w:r>
    </w:p>
    <w:p>
      <w:pPr>
        <w:pStyle w:val="FirstParagraph"/>
      </w:pPr>
      <w:r>
        <w:rPr>
          <w:bCs/>
          <w:b/>
        </w:rPr>
        <w:t xml:space="preserve">与中汽战略关联：</w:t>
      </w:r>
      <w:r>
        <w:t xml:space="preserve"> </w:t>
      </w:r>
      <w:r>
        <w:t xml:space="preserve">直接服务中汽”舱驾一体”域控算力升级路线，提供国产Chiplet异构集成的可行性论证与性能基线。</w:t>
      </w:r>
    </w:p>
    <w:p>
      <w:r>
        <w:pict>
          <v:rect style="width:0;height:1.5pt" o:hralign="center" o:hrstd="t" o:hr="t"/>
        </w:pict>
      </w:r>
    </w:p>
    <w:bookmarkEnd w:id="25"/>
    <w:bookmarkStart w:id="26" w:name="研究方向三智驾端侧晶上系统一体化方案与测试标准体系"/>
    <w:p>
      <w:pPr>
        <w:pStyle w:val="Heading3"/>
      </w:pPr>
      <w:r>
        <w:t xml:space="preserve">研究方向三：智驾端侧晶上系统一体化方案与测试标准体系</w:t>
      </w:r>
    </w:p>
    <w:p>
      <w:pPr>
        <w:numPr>
          <w:ilvl w:val="0"/>
          <w:numId w:val="1004"/>
        </w:numPr>
        <w:pStyle w:val="Compact"/>
      </w:pPr>
      <w:r>
        <w:rPr>
          <w:bCs/>
          <w:b/>
        </w:rPr>
        <w:t xml:space="preserve">感知-定位-规划-控制-执行一体化方案设计</w:t>
      </w:r>
      <w:r>
        <w:t xml:space="preserve">：基于晶上微系统，完成智驾完整功能链路的集成验证，评估系统在典型场景（城市NOA、高速领航、紧急避障）中的性能；</w:t>
      </w:r>
    </w:p>
    <w:p>
      <w:pPr>
        <w:numPr>
          <w:ilvl w:val="0"/>
          <w:numId w:val="1004"/>
        </w:numPr>
        <w:pStyle w:val="Compact"/>
      </w:pPr>
      <w:r>
        <w:rPr>
          <w:bCs/>
          <w:b/>
        </w:rPr>
        <w:t xml:space="preserve">权重量化剪枝与加速架构测试规范</w:t>
      </w:r>
      <w:r>
        <w:t xml:space="preserve">：研究适用于晶上网络结构的权重量化（INT4/INT8）与稀疏剪枝标准化测试方法，填补现行AECQ100和ISO 26262在此方向的空白；</w:t>
      </w:r>
    </w:p>
    <w:p>
      <w:pPr>
        <w:numPr>
          <w:ilvl w:val="0"/>
          <w:numId w:val="1004"/>
        </w:numPr>
        <w:pStyle w:val="Compact"/>
      </w:pPr>
      <w:r>
        <w:rPr>
          <w:bCs/>
          <w:b/>
        </w:rPr>
        <w:t xml:space="preserve">智驾端侧晶上智能存算芯粒测试规范</w:t>
      </w:r>
      <w:r>
        <w:t xml:space="preserve">：面向车规Chiplet的功能安全（ISO 26262 ASIL-B/D）、电磁兼容（CISPR25/ISO 11452-4）及CST性能（新增指标）制定综合测试规范；</w:t>
      </w:r>
    </w:p>
    <w:p>
      <w:pPr>
        <w:numPr>
          <w:ilvl w:val="0"/>
          <w:numId w:val="1004"/>
        </w:numPr>
        <w:pStyle w:val="Compact"/>
      </w:pPr>
      <w:r>
        <w:rPr>
          <w:bCs/>
          <w:b/>
        </w:rPr>
        <w:t xml:space="preserve">测试标准上升路径</w:t>
      </w:r>
      <w:r>
        <w:t xml:space="preserve">：以中国汽车芯片研究中心为标准主导单位，推动上述规范经由全国汽车标准化技术委员会进入国家推荐性标准序列（GB/T）。</w:t>
      </w:r>
    </w:p>
    <w:p>
      <w:pPr>
        <w:pStyle w:val="FirstParagraph"/>
      </w:pPr>
      <w:r>
        <w:rPr>
          <w:bCs/>
          <w:b/>
        </w:rPr>
        <w:t xml:space="preserve">与中汽战略关联：</w:t>
      </w:r>
      <w:r>
        <w:t xml:space="preserve"> </w:t>
      </w:r>
      <w:r>
        <w:t xml:space="preserve">强化中国汽车芯片研究中心在车规Chiplet标准领域的话语权，为中汽集团整车采购国产芯片提供技术背书与测试认证能力。</w:t>
      </w:r>
    </w:p>
    <w:p>
      <w:r>
        <w:pict>
          <v:rect style="width:0;height:1.5pt" o:hralign="center" o:hrstd="t" o:hr="t"/>
        </w:pict>
      </w:r>
    </w:p>
    <w:bookmarkEnd w:id="26"/>
    <w:bookmarkEnd w:id="27"/>
    <w:bookmarkStart w:id="28" w:name="四研究成果与技术指标"/>
    <w:p>
      <w:pPr>
        <w:pStyle w:val="Heading2"/>
      </w:pPr>
      <w:r>
        <w:t xml:space="preserve">四、研究成果与技术指标</w:t>
      </w:r>
    </w:p>
    <w:tbl>
      <w:tblPr>
        <w:tblStyle w:val="Table"/>
        <w:tblW w:type="pct" w:w="5000"/>
        <w:tblLook w:firstRow="1" w:lastRow="0" w:firstColumn="0" w:lastColumn="0" w:noHBand="0" w:noVBand="0" w:val="0020"/>
        <w:jc w:val="start"/>
      </w:tblPr>
      <w:tblGrid>
        <w:gridCol w:w="1440"/>
        <w:gridCol w:w="2160"/>
        <w:gridCol w:w="2160"/>
        <w:gridCol w:w="2160"/>
      </w:tblGrid>
      <w:tr>
        <w:trPr>
          <w:tblHeader w:val="true"/>
        </w:trPr>
        <w:tc>
          <w:tcPr/>
          <w:p>
            <w:pPr>
              <w:pStyle w:val="Compact"/>
              <w:jc w:val="left"/>
            </w:pPr>
            <w:r>
              <w:t xml:space="preserve">序号</w:t>
            </w:r>
          </w:p>
        </w:tc>
        <w:tc>
          <w:tcPr/>
          <w:p>
            <w:pPr>
              <w:pStyle w:val="Compact"/>
              <w:jc w:val="left"/>
            </w:pPr>
            <w:r>
              <w:t xml:space="preserve">成果类型</w:t>
            </w:r>
          </w:p>
        </w:tc>
        <w:tc>
          <w:tcPr/>
          <w:p>
            <w:pPr>
              <w:pStyle w:val="Compact"/>
              <w:jc w:val="left"/>
            </w:pPr>
            <w:r>
              <w:t xml:space="preserve">具体内容</w:t>
            </w:r>
          </w:p>
        </w:tc>
        <w:tc>
          <w:tcPr/>
          <w:p>
            <w:pPr>
              <w:pStyle w:val="Compact"/>
              <w:jc w:val="left"/>
            </w:pPr>
            <w:r>
              <w:t xml:space="preserve">量化指标</w:t>
            </w:r>
          </w:p>
        </w:tc>
      </w:tr>
      <w:tr>
        <w:tc>
          <w:tcPr/>
          <w:p>
            <w:pPr>
              <w:pStyle w:val="Compact"/>
              <w:jc w:val="left"/>
            </w:pPr>
            <w:r>
              <w:t xml:space="preserve">1</w:t>
            </w:r>
          </w:p>
        </w:tc>
        <w:tc>
          <w:tcPr/>
          <w:p>
            <w:pPr>
              <w:pStyle w:val="Compact"/>
              <w:jc w:val="left"/>
            </w:pPr>
            <w:r>
              <w:t xml:space="preserve">芯粒及测试系统</w:t>
            </w:r>
          </w:p>
        </w:tc>
        <w:tc>
          <w:tcPr/>
          <w:p>
            <w:pPr>
              <w:pStyle w:val="Compact"/>
              <w:jc w:val="left"/>
            </w:pPr>
            <w:r>
              <w:t xml:space="preserve">车规级晶上智能存算芯粒（iNEST-Chip）及配套测试平台</w:t>
            </w:r>
          </w:p>
        </w:tc>
        <w:tc>
          <w:tcPr/>
          <w:p>
            <w:pPr>
              <w:pStyle w:val="Compact"/>
              <w:jc w:val="left"/>
            </w:pPr>
            <w:r>
              <w:t xml:space="preserve">1套；推理能效比较同类商用SoC提升≥30%；工作温区覆盖-40°C～125°C</w:t>
            </w:r>
          </w:p>
        </w:tc>
      </w:tr>
      <w:tr>
        <w:tc>
          <w:tcPr/>
          <w:p>
            <w:pPr>
              <w:pStyle w:val="Compact"/>
              <w:jc w:val="left"/>
            </w:pPr>
            <w:r>
              <w:t xml:space="preserve">2</w:t>
            </w:r>
          </w:p>
        </w:tc>
        <w:tc>
          <w:tcPr/>
          <w:p>
            <w:pPr>
              <w:pStyle w:val="Compact"/>
              <w:jc w:val="left"/>
            </w:pPr>
            <w:r>
              <w:t xml:space="preserve">集成微系统</w:t>
            </w:r>
          </w:p>
        </w:tc>
        <w:tc>
          <w:tcPr/>
          <w:p>
            <w:pPr>
              <w:pStyle w:val="Compact"/>
              <w:jc w:val="left"/>
            </w:pPr>
            <w:r>
              <w:t xml:space="preserve">含DVS传感器与存算芯粒的智驾端侧晶上异构集成微系统</w:t>
            </w:r>
          </w:p>
        </w:tc>
        <w:tc>
          <w:tcPr/>
          <w:p>
            <w:pPr>
              <w:pStyle w:val="Compact"/>
              <w:jc w:val="left"/>
            </w:pPr>
            <w:r>
              <w:t xml:space="preserve">1套；多模态感知融合时延≤10ms</w:t>
            </w:r>
          </w:p>
        </w:tc>
      </w:tr>
      <w:tr>
        <w:tc>
          <w:tcPr/>
          <w:p>
            <w:pPr>
              <w:pStyle w:val="Compact"/>
              <w:jc w:val="left"/>
            </w:pPr>
            <w:r>
              <w:t xml:space="preserve">3</w:t>
            </w:r>
          </w:p>
        </w:tc>
        <w:tc>
          <w:tcPr/>
          <w:p>
            <w:pPr>
              <w:pStyle w:val="Compact"/>
              <w:jc w:val="left"/>
            </w:pPr>
            <w:r>
              <w:t xml:space="preserve">测试标准/规范</w:t>
            </w:r>
          </w:p>
        </w:tc>
        <w:tc>
          <w:tcPr/>
          <w:p>
            <w:pPr>
              <w:pStyle w:val="Compact"/>
              <w:jc w:val="left"/>
            </w:pPr>
            <w:r>
              <w:t xml:space="preserve">智驾端侧晶上智能存算芯粒测试规范；晶上权重量化剪枝与加速架构测试规范</w:t>
            </w:r>
          </w:p>
        </w:tc>
        <w:tc>
          <w:tcPr/>
          <w:p>
            <w:pPr>
              <w:pStyle w:val="Compact"/>
              <w:jc w:val="left"/>
            </w:pPr>
            <w:r>
              <w:t xml:space="preserve">2项（面向GB/T标准申请）</w:t>
            </w:r>
          </w:p>
        </w:tc>
      </w:tr>
      <w:tr>
        <w:tc>
          <w:tcPr/>
          <w:p>
            <w:pPr>
              <w:pStyle w:val="Compact"/>
              <w:jc w:val="left"/>
            </w:pPr>
            <w:r>
              <w:t xml:space="preserve">4</w:t>
            </w:r>
          </w:p>
        </w:tc>
        <w:tc>
          <w:tcPr/>
          <w:p>
            <w:pPr>
              <w:pStyle w:val="Compact"/>
              <w:jc w:val="left"/>
            </w:pPr>
            <w:r>
              <w:t xml:space="preserve">研究报告</w:t>
            </w:r>
          </w:p>
        </w:tc>
        <w:tc>
          <w:tcPr/>
          <w:p>
            <w:pPr>
              <w:pStyle w:val="Compact"/>
              <w:jc w:val="left"/>
            </w:pPr>
            <w:r>
              <w:t xml:space="preserve">《基于CST网络复杂度的智驾端侧晶上系统技术与标准研究报告》</w:t>
            </w:r>
          </w:p>
        </w:tc>
        <w:tc>
          <w:tcPr/>
          <w:p>
            <w:pPr>
              <w:pStyle w:val="Compact"/>
              <w:jc w:val="left"/>
            </w:pPr>
            <w:r>
              <w:t xml:space="preserve">1份</w:t>
            </w:r>
          </w:p>
        </w:tc>
      </w:tr>
      <w:tr>
        <w:tc>
          <w:tcPr/>
          <w:p>
            <w:pPr>
              <w:pStyle w:val="Compact"/>
              <w:jc w:val="left"/>
            </w:pPr>
            <w:r>
              <w:t xml:space="preserve">5</w:t>
            </w:r>
          </w:p>
        </w:tc>
        <w:tc>
          <w:tcPr/>
          <w:p>
            <w:pPr>
              <w:pStyle w:val="Compact"/>
              <w:jc w:val="left"/>
            </w:pPr>
            <w:r>
              <w:t xml:space="preserve">高水平学术论文</w:t>
            </w:r>
          </w:p>
        </w:tc>
        <w:tc>
          <w:tcPr/>
          <w:p>
            <w:pPr>
              <w:pStyle w:val="Compact"/>
              <w:jc w:val="left"/>
            </w:pPr>
            <w:r>
              <w:t xml:space="preserve">Nature Electronics/IEEE T-VLSI/IEEE TCAS等</w:t>
            </w:r>
          </w:p>
        </w:tc>
        <w:tc>
          <w:tcPr/>
          <w:p>
            <w:pPr>
              <w:pStyle w:val="Compact"/>
              <w:jc w:val="left"/>
            </w:pPr>
            <w:r>
              <w:t xml:space="preserve">≥5篇</w:t>
            </w:r>
          </w:p>
        </w:tc>
      </w:tr>
      <w:tr>
        <w:tc>
          <w:tcPr/>
          <w:p>
            <w:pPr>
              <w:pStyle w:val="Compact"/>
              <w:jc w:val="left"/>
            </w:pPr>
            <w:r>
              <w:t xml:space="preserve">6</w:t>
            </w:r>
          </w:p>
        </w:tc>
        <w:tc>
          <w:tcPr/>
          <w:p>
            <w:pPr>
              <w:pStyle w:val="Compact"/>
              <w:jc w:val="left"/>
            </w:pPr>
            <w:r>
              <w:t xml:space="preserve">知识产权</w:t>
            </w:r>
          </w:p>
        </w:tc>
        <w:tc>
          <w:tcPr/>
          <w:p>
            <w:pPr>
              <w:pStyle w:val="Compact"/>
              <w:jc w:val="left"/>
            </w:pPr>
            <w:r>
              <w:t xml:space="preserve">发明专利（含晶上拓扑、器件工艺、测试方法）</w:t>
            </w:r>
          </w:p>
        </w:tc>
        <w:tc>
          <w:tcPr/>
          <w:p>
            <w:pPr>
              <w:pStyle w:val="Compact"/>
              <w:jc w:val="left"/>
            </w:pPr>
            <w:r>
              <w:t xml:space="preserve">≥5项</w:t>
            </w:r>
          </w:p>
        </w:tc>
      </w:tr>
      <w:tr>
        <w:tc>
          <w:tcPr/>
          <w:p>
            <w:pPr>
              <w:pStyle w:val="Compact"/>
              <w:jc w:val="left"/>
            </w:pPr>
            <w:r>
              <w:t xml:space="preserve">7</w:t>
            </w:r>
          </w:p>
        </w:tc>
        <w:tc>
          <w:tcPr/>
          <w:p>
            <w:pPr>
              <w:pStyle w:val="Compact"/>
              <w:jc w:val="left"/>
            </w:pPr>
            <w:r>
              <w:t xml:space="preserve">增补指标</w:t>
            </w:r>
          </w:p>
        </w:tc>
        <w:tc>
          <w:tcPr/>
          <w:p>
            <w:pPr>
              <w:pStyle w:val="Compact"/>
              <w:jc w:val="left"/>
            </w:pPr>
            <w:r>
              <w:t xml:space="preserve">CST量化评测工具链（软件著作权）</w:t>
            </w:r>
          </w:p>
        </w:tc>
        <w:tc>
          <w:tcPr/>
          <w:p>
            <w:pPr>
              <w:pStyle w:val="Compact"/>
              <w:jc w:val="left"/>
            </w:pPr>
            <w:r>
              <w:t xml:space="preserve">1套</w:t>
            </w:r>
          </w:p>
        </w:tc>
      </w:tr>
    </w:tbl>
    <w:p>
      <w:r>
        <w:pict>
          <v:rect style="width:0;height:1.5pt" o:hralign="center" o:hrstd="t" o:hr="t"/>
        </w:pict>
      </w:r>
    </w:p>
    <w:bookmarkEnd w:id="28"/>
    <w:bookmarkStart w:id="32" w:name="五项目实施方案"/>
    <w:p>
      <w:pPr>
        <w:pStyle w:val="Heading2"/>
      </w:pPr>
      <w:r>
        <w:t xml:space="preserve">五、项目实施方案</w:t>
      </w:r>
    </w:p>
    <w:bookmarkStart w:id="29" w:name="分工建议"/>
    <w:p>
      <w:pPr>
        <w:pStyle w:val="Heading3"/>
      </w:pPr>
      <w:r>
        <w:t xml:space="preserve">分工建议</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承担单位</w:t>
            </w:r>
          </w:p>
        </w:tc>
        <w:tc>
          <w:tcPr/>
          <w:p>
            <w:pPr>
              <w:pStyle w:val="Compact"/>
              <w:jc w:val="left"/>
            </w:pPr>
            <w:r>
              <w:t xml:space="preserve">主要职责</w:t>
            </w:r>
          </w:p>
        </w:tc>
      </w:tr>
      <w:tr>
        <w:tc>
          <w:tcPr/>
          <w:p>
            <w:pPr>
              <w:pStyle w:val="Compact"/>
              <w:jc w:val="left"/>
            </w:pPr>
            <w:r>
              <w:rPr>
                <w:bCs/>
                <w:b/>
              </w:rPr>
              <w:t xml:space="preserve">天津大学微电子学院（刘勤让团队）</w:t>
            </w:r>
          </w:p>
        </w:tc>
        <w:tc>
          <w:tcPr/>
          <w:p>
            <w:pPr>
              <w:pStyle w:val="Compact"/>
              <w:jc w:val="left"/>
            </w:pPr>
            <w:r>
              <w:t xml:space="preserve">总体技术路线、SDSoW晶上系统架构、忆阻器工艺与CST表征、项目统筹</w:t>
            </w:r>
          </w:p>
        </w:tc>
      </w:tr>
      <w:tr>
        <w:tc>
          <w:tcPr/>
          <w:p>
            <w:pPr>
              <w:pStyle w:val="Compact"/>
              <w:jc w:val="left"/>
            </w:pPr>
            <w:r>
              <w:rPr>
                <w:bCs/>
                <w:b/>
              </w:rPr>
              <w:t xml:space="preserve">天津大学（刘强团队）</w:t>
            </w:r>
          </w:p>
        </w:tc>
        <w:tc>
          <w:tcPr/>
          <w:p>
            <w:pPr>
              <w:pStyle w:val="Compact"/>
              <w:jc w:val="left"/>
            </w:pPr>
            <w:r>
              <w:t xml:space="preserve">大模型权重量化剪枝优化、端侧推理加速架构设计</w:t>
            </w:r>
          </w:p>
        </w:tc>
      </w:tr>
      <w:tr>
        <w:tc>
          <w:tcPr/>
          <w:p>
            <w:pPr>
              <w:pStyle w:val="Compact"/>
              <w:jc w:val="left"/>
            </w:pPr>
            <w:r>
              <w:rPr>
                <w:bCs/>
                <w:b/>
              </w:rPr>
              <w:t xml:space="preserve">天津大学（于和善团队）</w:t>
            </w:r>
          </w:p>
        </w:tc>
        <w:tc>
          <w:tcPr/>
          <w:p>
            <w:pPr>
              <w:pStyle w:val="Compact"/>
              <w:jc w:val="left"/>
            </w:pPr>
            <w:r>
              <w:t xml:space="preserve">物理具身智能验证平台、基于位置感知的机器人控制闭环</w:t>
            </w:r>
          </w:p>
        </w:tc>
      </w:tr>
      <w:tr>
        <w:tc>
          <w:tcPr/>
          <w:p>
            <w:pPr>
              <w:pStyle w:val="Compact"/>
              <w:jc w:val="left"/>
            </w:pPr>
            <w:r>
              <w:rPr>
                <w:bCs/>
                <w:b/>
              </w:rPr>
              <w:t xml:space="preserve">中国汽车芯片研究中心</w:t>
            </w:r>
          </w:p>
        </w:tc>
        <w:tc>
          <w:tcPr/>
          <w:p>
            <w:pPr>
              <w:pStyle w:val="Compact"/>
              <w:jc w:val="left"/>
            </w:pPr>
            <w:r>
              <w:t xml:space="preserve">车规测试体系设计、标准申报与推进、整车应用场景定义</w:t>
            </w:r>
          </w:p>
        </w:tc>
      </w:tr>
      <w:tr>
        <w:tc>
          <w:tcPr/>
          <w:p>
            <w:pPr>
              <w:pStyle w:val="Compact"/>
              <w:jc w:val="left"/>
            </w:pPr>
            <w:r>
              <w:rPr>
                <w:bCs/>
                <w:b/>
              </w:rPr>
              <w:t xml:space="preserve">中国汽车集团（参与方）</w:t>
            </w:r>
          </w:p>
        </w:tc>
        <w:tc>
          <w:tcPr/>
          <w:p>
            <w:pPr>
              <w:pStyle w:val="Compact"/>
              <w:jc w:val="left"/>
            </w:pPr>
            <w:r>
              <w:t xml:space="preserve">整车端应用需求输入、场景库提供、产业化路径评估</w:t>
            </w:r>
          </w:p>
        </w:tc>
      </w:tr>
    </w:tbl>
    <w:bookmarkEnd w:id="29"/>
    <w:bookmarkStart w:id="30" w:name="实施周期"/>
    <w:p>
      <w:pPr>
        <w:pStyle w:val="Heading3"/>
      </w:pPr>
      <w:r>
        <w:t xml:space="preserve">实施周期</w:t>
      </w:r>
    </w:p>
    <w:p>
      <w:pPr>
        <w:pStyle w:val="FirstParagraph"/>
      </w:pPr>
      <w:r>
        <w:rPr>
          <w:bCs/>
          <w:b/>
        </w:rPr>
        <w:t xml:space="preserve">建议2年</w:t>
      </w:r>
      <w:r>
        <w:t xml:space="preserve">，分两阶段推进：</w:t>
      </w:r>
    </w:p>
    <w:p>
      <w:pPr>
        <w:numPr>
          <w:ilvl w:val="0"/>
          <w:numId w:val="1005"/>
        </w:numPr>
        <w:pStyle w:val="Compact"/>
      </w:pPr>
      <w:r>
        <w:rPr>
          <w:bCs/>
          <w:b/>
        </w:rPr>
        <w:t xml:space="preserve">第一年</w:t>
      </w:r>
      <w:r>
        <w:t xml:space="preserve">：完成器件工艺开发与车规验证、芯粒架构设计流片、测试规范草案；</w:t>
      </w:r>
    </w:p>
    <w:p>
      <w:pPr>
        <w:numPr>
          <w:ilvl w:val="0"/>
          <w:numId w:val="1005"/>
        </w:numPr>
        <w:pStyle w:val="Compact"/>
      </w:pPr>
      <w:r>
        <w:rPr>
          <w:bCs/>
          <w:b/>
        </w:rPr>
        <w:t xml:space="preserve">第二年</w:t>
      </w:r>
      <w:r>
        <w:t xml:space="preserve">：完成微系统集成与性能验证、一体化方案演示、标准稿件报批。</w:t>
      </w:r>
    </w:p>
    <w:bookmarkEnd w:id="30"/>
    <w:bookmarkStart w:id="31" w:name="经费建议"/>
    <w:p>
      <w:pPr>
        <w:pStyle w:val="Heading3"/>
      </w:pPr>
      <w:r>
        <w:t xml:space="preserve">经费建议</w:t>
      </w:r>
    </w:p>
    <w:p>
      <w:pPr>
        <w:pStyle w:val="FirstParagraph"/>
      </w:pPr>
      <w:r>
        <w:rPr>
          <w:bCs/>
          <w:b/>
        </w:rPr>
        <w:t xml:space="preserve">1000万元人民币</w:t>
      </w:r>
      <w:r>
        <w:t xml:space="preserve">（可根据中汽集团配套资金情况上浮至1500万元）</w:t>
      </w:r>
    </w:p>
    <w:p>
      <w:r>
        <w:pict>
          <v:rect style="width:0;height:1.5pt" o:hralign="center" o:hrstd="t" o:hr="t"/>
        </w:pict>
      </w:r>
    </w:p>
    <w:bookmarkEnd w:id="31"/>
    <w:bookmarkEnd w:id="32"/>
    <w:bookmarkStart w:id="35" w:name="六预期价值与合作前景"/>
    <w:p>
      <w:pPr>
        <w:pStyle w:val="Heading2"/>
      </w:pPr>
      <w:r>
        <w:t xml:space="preserve">六、预期价值与合作前景</w:t>
      </w:r>
    </w:p>
    <w:bookmarkStart w:id="33" w:name="对中汽集团的核心价值"/>
    <w:p>
      <w:pPr>
        <w:pStyle w:val="Heading3"/>
      </w:pPr>
      <w:r>
        <w:t xml:space="preserve">对中汽集团的核心价值</w:t>
      </w:r>
    </w:p>
    <w:p>
      <w:pPr>
        <w:numPr>
          <w:ilvl w:val="0"/>
          <w:numId w:val="1006"/>
        </w:numPr>
        <w:pStyle w:val="Compact"/>
      </w:pPr>
      <w:r>
        <w:rPr>
          <w:bCs/>
          <w:b/>
        </w:rPr>
        <w:t xml:space="preserve">标准话语权</w:t>
      </w:r>
      <w:r>
        <w:t xml:space="preserve">：主导国内首批车规Chiplet测试标准，在行业形成”游戏规则制定者”地位；</w:t>
      </w:r>
    </w:p>
    <w:p>
      <w:pPr>
        <w:numPr>
          <w:ilvl w:val="0"/>
          <w:numId w:val="1006"/>
        </w:numPr>
        <w:pStyle w:val="Compact"/>
      </w:pPr>
      <w:r>
        <w:rPr>
          <w:bCs/>
          <w:b/>
        </w:rPr>
        <w:t xml:space="preserve">供应链自主</w:t>
      </w:r>
      <w:r>
        <w:t xml:space="preserve">：验证国产工艺路线下晶上异构集成芯粒的可行性，为集团整车供应链去风险；</w:t>
      </w:r>
    </w:p>
    <w:p>
      <w:pPr>
        <w:numPr>
          <w:ilvl w:val="0"/>
          <w:numId w:val="1006"/>
        </w:numPr>
        <w:pStyle w:val="Compact"/>
      </w:pPr>
      <w:r>
        <w:rPr>
          <w:bCs/>
          <w:b/>
        </w:rPr>
        <w:t xml:space="preserve">技术领先窗口</w:t>
      </w:r>
      <w:r>
        <w:t xml:space="preserve">：CST驱动的物理智能涌现是下一代端侧AI的潜在范式，提前布局可形成5-10年技术护城河；</w:t>
      </w:r>
    </w:p>
    <w:p>
      <w:pPr>
        <w:numPr>
          <w:ilvl w:val="0"/>
          <w:numId w:val="1006"/>
        </w:numPr>
        <w:pStyle w:val="Compact"/>
      </w:pPr>
      <w:r>
        <w:rPr>
          <w:bCs/>
          <w:b/>
        </w:rPr>
        <w:t xml:space="preserve">政策协同</w:t>
      </w:r>
      <w:r>
        <w:t xml:space="preserve">：契合国家”车规芯片国产替代”专项与”智能网联汽车标准体系建设指南（2023版）“，利于申请重大专项配套支持。</w:t>
      </w:r>
    </w:p>
    <w:bookmarkEnd w:id="33"/>
    <w:bookmarkStart w:id="34" w:name="对天津大学inest团队的核心价值"/>
    <w:p>
      <w:pPr>
        <w:pStyle w:val="Heading3"/>
      </w:pPr>
      <w:r>
        <w:t xml:space="preserve">对天津大学iNEST团队的核心价值</w:t>
      </w:r>
    </w:p>
    <w:p>
      <w:pPr>
        <w:numPr>
          <w:ilvl w:val="0"/>
          <w:numId w:val="1007"/>
        </w:numPr>
        <w:pStyle w:val="Compact"/>
      </w:pPr>
      <w:r>
        <w:t xml:space="preserve">提供大规模真实驾驶场景数据与车规约束，加速CST理论向工程落地；</w:t>
      </w:r>
    </w:p>
    <w:p>
      <w:pPr>
        <w:numPr>
          <w:ilvl w:val="0"/>
          <w:numId w:val="1007"/>
        </w:numPr>
        <w:pStyle w:val="Compact"/>
      </w:pPr>
      <w:r>
        <w:t xml:space="preserve">以中汽标准背书，推动iNEST技术体系进入产业标准序列；</w:t>
      </w:r>
    </w:p>
    <w:p>
      <w:pPr>
        <w:numPr>
          <w:ilvl w:val="0"/>
          <w:numId w:val="1007"/>
        </w:numPr>
        <w:pStyle w:val="Compact"/>
      </w:pPr>
      <w:r>
        <w:t xml:space="preserve">构建iNEST-Chip首个产业化应用原型，支撑后续更大规模专项申报。</w:t>
      </w:r>
    </w:p>
    <w:p>
      <w:r>
        <w:pict>
          <v:rect style="width:0;height:1.5pt" o:hralign="center" o:hrstd="t" o:hr="t"/>
        </w:pict>
      </w:r>
    </w:p>
    <w:bookmarkEnd w:id="34"/>
    <w:bookmarkEnd w:id="35"/>
    <w:bookmarkStart w:id="36" w:name="七修订说明"/>
    <w:p>
      <w:pPr>
        <w:pStyle w:val="Heading2"/>
      </w:pPr>
      <w:r>
        <w:t xml:space="preserve">七、修订说明</w:t>
      </w:r>
    </w:p>
    <w:p>
      <w:pPr>
        <w:pStyle w:val="FirstParagraph"/>
      </w:pPr>
      <w:r>
        <w:rPr>
          <w:bCs/>
          <w:b/>
        </w:rPr>
        <w:t xml:space="preserve">相较原始指南的主要调整：</w:t>
      </w:r>
    </w:p>
    <w:p>
      <w:pPr>
        <w:numPr>
          <w:ilvl w:val="0"/>
          <w:numId w:val="1008"/>
        </w:numPr>
        <w:pStyle w:val="Compact"/>
      </w:pPr>
      <w:r>
        <w:rPr>
          <w:bCs/>
          <w:b/>
        </w:rPr>
        <w:t xml:space="preserve">增加理论内核</w:t>
      </w:r>
      <w:r>
        <w:t xml:space="preserve">：在研究内容中嵌入”网络时空协同复杂度（CST）</w:t>
      </w:r>
      <w:r>
        <w:t xml:space="preserve">“</w:t>
      </w:r>
      <w:r>
        <w:t xml:space="preserve">框架，使技术路线从</w:t>
      </w:r>
      <w:r>
        <w:t xml:space="preserve">”</w:t>
      </w:r>
      <w:r>
        <w:t xml:space="preserve">器件+系统”提升为”有理论支撑的新范式”，增强立项逻辑说服力；</w:t>
      </w:r>
    </w:p>
    <w:p>
      <w:pPr>
        <w:numPr>
          <w:ilvl w:val="0"/>
          <w:numId w:val="1008"/>
        </w:numPr>
        <w:pStyle w:val="Compact"/>
      </w:pPr>
      <w:r>
        <w:rPr>
          <w:bCs/>
          <w:b/>
        </w:rPr>
        <w:t xml:space="preserve">强化中汽视角</w:t>
      </w:r>
      <w:r>
        <w:t xml:space="preserve">：每个研究方向均明确标注”与中汽战略关联”，确保集团领导能直接看到利益交集；</w:t>
      </w:r>
    </w:p>
    <w:p>
      <w:pPr>
        <w:numPr>
          <w:ilvl w:val="0"/>
          <w:numId w:val="1008"/>
        </w:numPr>
        <w:pStyle w:val="Compact"/>
      </w:pPr>
      <w:r>
        <w:rPr>
          <w:bCs/>
          <w:b/>
        </w:rPr>
        <w:t xml:space="preserve">标准路径清晰化</w:t>
      </w:r>
      <w:r>
        <w:t xml:space="preserve">：原指南仅提”制定规范”，修订版明确了标准上升路径（→GB/T），并突出中国汽车芯片研究中心的话语权获益；</w:t>
      </w:r>
    </w:p>
    <w:p>
      <w:pPr>
        <w:numPr>
          <w:ilvl w:val="0"/>
          <w:numId w:val="1008"/>
        </w:numPr>
        <w:pStyle w:val="Compact"/>
      </w:pPr>
      <w:r>
        <w:rPr>
          <w:bCs/>
          <w:b/>
        </w:rPr>
        <w:t xml:space="preserve">量化指标细化</w:t>
      </w:r>
      <w:r>
        <w:t xml:space="preserve">：新增”推理能效比提升≥30%“</w:t>
      </w:r>
      <w:r>
        <w:t xml:space="preserve">“</w:t>
      </w:r>
      <w:r>
        <w:t xml:space="preserve">多模态融合时延≤10ms</w:t>
      </w:r>
      <w:r>
        <w:t xml:space="preserve">”</w:t>
      </w:r>
      <w:r>
        <w:t xml:space="preserve">等可验证的硬指标；</w:t>
      </w:r>
    </w:p>
    <w:p>
      <w:pPr>
        <w:numPr>
          <w:ilvl w:val="0"/>
          <w:numId w:val="1008"/>
        </w:numPr>
        <w:pStyle w:val="Compact"/>
      </w:pPr>
      <w:r>
        <w:rPr>
          <w:bCs/>
          <w:b/>
        </w:rPr>
        <w:t xml:space="preserve">团队分工显性化</w:t>
      </w:r>
      <w:r>
        <w:t xml:space="preserve">：将刘强、于和善两位老师的工作方向与核心任务精确对应，强化团队竞争力展示；</w:t>
      </w:r>
    </w:p>
    <w:p>
      <w:pPr>
        <w:numPr>
          <w:ilvl w:val="0"/>
          <w:numId w:val="1008"/>
        </w:numPr>
        <w:pStyle w:val="Compact"/>
      </w:pPr>
      <w:r>
        <w:rPr>
          <w:bCs/>
          <w:b/>
        </w:rPr>
        <w:t xml:space="preserve">经费弹性设计</w:t>
      </w:r>
      <w:r>
        <w:t xml:space="preserve">：建议基础1000万，并提供1500万的上浮空间，为双方谈判留余地。</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2026-03-25T03:27:34Z</dcterms:created>
  <dcterms:modified xsi:type="dcterms:W3CDTF">2026-03-25T03:27:34Z</dcterms:modified>
</cp:coreProperties>
</file>

<file path=docProps/custom.xml><?xml version="1.0" encoding="utf-8"?>
<Properties xmlns="http://schemas.openxmlformats.org/officeDocument/2006/custom-properties" xmlns:vt="http://schemas.openxmlformats.org/officeDocument/2006/docPropsVTypes"/>
</file>