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黑体" w:hAnsi="黑体"/>
          <w:b/>
          <w:color w:val="1F4E79"/>
          <w:sz w:val="36"/>
        </w:rPr>
        <w:t>海河实验室2026年度重大专项</w:t>
      </w:r>
    </w:p>
    <w:p>
      <w:pPr>
        <w:jc w:val="center"/>
      </w:pPr>
      <w:r>
        <w:rPr>
          <w:rFonts w:ascii="黑体" w:hAnsi="黑体"/>
          <w:b/>
          <w:color w:val="1F4E79"/>
          <w:sz w:val="32"/>
        </w:rPr>
        <w:t>项目申报书</w:t>
      </w:r>
    </w:p>
    <w:p/>
    <w:p>
      <w:pPr>
        <w:jc w:val="center"/>
      </w:pPr>
      <w:r>
        <w:rPr>
          <w:rFonts w:ascii="宋体" w:hAnsi="宋体"/>
          <w:b/>
          <w:color w:val="2E74B5"/>
          <w:sz w:val="28"/>
        </w:rPr>
        <w:t>通信-算子原语芯粒与软件定义互连协同的复杂网络计算范式验证平台</w:t>
      </w:r>
    </w:p>
    <w:p/>
    <w:p>
      <w:pPr>
        <w:jc w:val="center"/>
      </w:pPr>
      <w:r>
        <w:rPr>
          <w:rFonts w:ascii="宋体" w:hAnsi="宋体"/>
          <w:sz w:val="24"/>
        </w:rPr>
        <w:t>申报单位：天津大学微电子学院</w:t>
      </w:r>
    </w:p>
    <w:p>
      <w:pPr>
        <w:jc w:val="center"/>
      </w:pPr>
      <w:r>
        <w:rPr>
          <w:rFonts w:ascii="宋体" w:hAnsi="宋体"/>
          <w:sz w:val="24"/>
        </w:rPr>
        <w:t>项目负责人：刘勤让</w:t>
      </w:r>
    </w:p>
    <w:p>
      <w:pPr>
        <w:jc w:val="center"/>
      </w:pPr>
      <w:r>
        <w:rPr>
          <w:rFonts w:ascii="宋体" w:hAnsi="宋体"/>
          <w:sz w:val="24"/>
        </w:rPr>
        <w:t>申报经费：1500万元</w:t>
      </w:r>
    </w:p>
    <w:p>
      <w:pPr>
        <w:jc w:val="center"/>
      </w:pPr>
      <w:r>
        <w:rPr>
          <w:rFonts w:ascii="宋体" w:hAnsi="宋体"/>
          <w:sz w:val="24"/>
        </w:rPr>
        <w:t>项目周期：2026年1月—2028年12月（3年）</w:t>
      </w:r>
    </w:p>
    <w:p>
      <w:pPr>
        <w:jc w:val="center"/>
      </w:pPr>
      <w:r>
        <w:rPr>
          <w:rFonts w:ascii="宋体" w:hAnsi="宋体"/>
          <w:sz w:val="24"/>
        </w:rPr>
        <w:t>申报日期：2026年4月</w:t>
      </w:r>
    </w:p>
    <w:p>
      <w:r>
        <w:br w:type="page"/>
      </w:r>
    </w:p>
    <w:p>
      <w:pPr>
        <w:pStyle w:val="Heading1"/>
        <w:spacing w:before="240" w:after="120"/>
      </w:pPr>
      <w:r>
        <w:t>第一部分  SDIO-N接口标准体系</w:t>
      </w:r>
    </w:p>
    <w:p>
      <w:pPr>
        <w:pStyle w:val="Heading2"/>
        <w:spacing w:before="240" w:after="120"/>
      </w:pPr>
      <w:r>
        <w:t>1.1  为何必须制定接口标准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本项目包含三类芯粒（NPC通信原语芯粒、CPC算子原语芯粒、SDI控制器），由不同团队分工设计，须在同一块板卡上协同工作。若无统一接口标准，将出现：信号电平不兼容（需外加电平转换，增加延迟）；时序约定不一致（数据错位，功能错误）；协议语义不统一（软件栈无法统一抽象）。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SDIO-N接口标准是本项目技术体系的&lt;&lt;主干道&gt;&gt;，也是后续产业化的核心专利壁垒。</w:t>
      </w:r>
    </w:p>
    <w:p>
      <w:pPr>
        <w:pStyle w:val="Heading2"/>
        <w:spacing w:before="240" w:after="120"/>
      </w:pPr>
      <w:r>
        <w:t>1.2  SDIO-N接口标准分层架构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SDIO-N（Software-Defined Interconnect for Native primitives）采用四层架构：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关键指标</w:t>
            </w:r>
          </w:p>
        </w:tc>
      </w:tr>
      <w:tr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L4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语义层</w:t>
            </w:r>
          </w:p>
        </w:tc>
        <w:tc>
          <w:tcPr>
            <w:tcW w:type="dxa" w:w="4535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原语事务 SEND_PRIM(type, data, topology_cfg)，支持NPC_ALLREDUCE/NPC_ALLTOALL/CPC_MAP/CPC_SCAN等类型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原语类型编码4bit，支持16种原语</w:t>
            </w:r>
          </w:p>
        </w:tc>
      </w:tr>
      <w:tr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L3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协议层</w:t>
            </w:r>
          </w:p>
        </w:tc>
        <w:tc>
          <w:tcPr>
            <w:tcW w:type="dxa" w:w="4535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轻量事务协议（LTP），包头8B（原语类型4b+节点ID12b+长度16b+序列号16b+CRC8），Credit-based流控，无需ACK，仅端到端重传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协议开销&lt;5%</w:t>
            </w:r>
          </w:p>
        </w:tc>
      </w:tr>
      <w:tr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L2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数据链路层</w:t>
            </w:r>
          </w:p>
        </w:tc>
        <w:tc>
          <w:tcPr>
            <w:tcW w:type="dxa" w:w="4535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64B Flit最小传输单元，奇偶校验+RS前向纠错（可选）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纠错码可选，不增加必要延迟</w:t>
            </w:r>
          </w:p>
        </w:tc>
      </w:tr>
      <w:tr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L1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物理层</w:t>
            </w:r>
          </w:p>
        </w:tc>
        <w:tc>
          <w:tcPr>
            <w:tcW w:type="dxa" w:w="4535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差分信号LVDS，16Gbps/lane，兼容UCIe 1.0电气规范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芯粒间&lt;2ns，板间&lt;10ns，功耗&lt;1pJ/bit</w:t>
            </w:r>
          </w:p>
        </w:tc>
      </w:tr>
    </w:tbl>
    <w:p/>
    <w:p>
      <w:pPr>
        <w:pStyle w:val="Heading2"/>
        <w:spacing w:before="240" w:after="120"/>
      </w:pPr>
      <w:r>
        <w:t>1.3  信号定义（芯粒管脚层）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信号组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信号名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位宽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数据通道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DATA[255:0]</w:t>
            </w:r>
          </w:p>
        </w:tc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双向</w:t>
            </w:r>
          </w:p>
        </w:tc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256b</w:t>
            </w:r>
          </w:p>
        </w:tc>
        <w:tc>
          <w:tcPr>
            <w:tcW w:type="dxa" w:w="340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主数据总线，4x64b Flit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控制通道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PRIM_TYPE[3:0]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4b</w:t>
            </w:r>
          </w:p>
        </w:tc>
        <w:tc>
          <w:tcPr>
            <w:tcW w:type="dxa" w:w="340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原语类型编码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控制通道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NODE_ID[11:0]</w:t>
            </w:r>
          </w:p>
        </w:tc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12b</w:t>
            </w:r>
          </w:p>
        </w:tc>
        <w:tc>
          <w:tcPr>
            <w:tcW w:type="dxa" w:w="340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源/目标节点ID，支持4096节点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拓扑配置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TOPO_CFG[63:0]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64b</w:t>
            </w:r>
          </w:p>
        </w:tc>
        <w:tc>
          <w:tcPr>
            <w:tcW w:type="dxa" w:w="340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SDI拓扑配置寄存器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时钟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CLK_IN/CLK_OUT</w:t>
            </w:r>
          </w:p>
        </w:tc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1b</w:t>
            </w:r>
          </w:p>
        </w:tc>
        <w:tc>
          <w:tcPr>
            <w:tcW w:type="dxa" w:w="340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源同步随路时钟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流控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CREDIT[7:0]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双向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8b</w:t>
            </w:r>
          </w:p>
        </w:tc>
        <w:tc>
          <w:tcPr>
            <w:tcW w:type="dxa" w:w="340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可用缓冲信用值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状态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READY/VALID</w:t>
            </w:r>
          </w:p>
        </w:tc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双向</w:t>
            </w:r>
          </w:p>
        </w:tc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1b</w:t>
            </w:r>
          </w:p>
        </w:tc>
        <w:tc>
          <w:tcPr>
            <w:tcW w:type="dxa" w:w="340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握手信号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重构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RECONFIG_REQ/ACK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双向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1b</w:t>
            </w:r>
          </w:p>
        </w:tc>
        <w:tc>
          <w:tcPr>
            <w:tcW w:type="dxa" w:w="340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拓扑重构请求与确认</w:t>
            </w:r>
          </w:p>
        </w:tc>
      </w:tr>
    </w:tbl>
    <w:p/>
    <w:p>
      <w:pPr>
        <w:pStyle w:val="Heading2"/>
        <w:spacing w:before="240" w:after="120"/>
      </w:pPr>
      <w:r>
        <w:t>1.4  原语类型编码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24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编码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原语</w:t>
            </w:r>
          </w:p>
        </w:tc>
        <w:tc>
          <w:tcPr>
            <w:tcW w:type="dxa" w:w="130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芯粒</w:t>
            </w:r>
          </w:p>
        </w:tc>
        <w:tc>
          <w:tcPr>
            <w:tcW w:type="dxa" w:w="42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功能说明</w:t>
            </w:r>
          </w:p>
        </w:tc>
      </w:tr>
      <w:tr>
        <w:tc>
          <w:tcPr>
            <w:tcW w:type="dxa" w:w="124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4'b0001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ALLREDUCE</w:t>
            </w:r>
          </w:p>
        </w:tc>
        <w:tc>
          <w:tcPr>
            <w:tcW w:type="dxa" w:w="130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NPC-AR</w:t>
            </w:r>
          </w:p>
        </w:tc>
        <w:tc>
          <w:tcPr>
            <w:tcW w:type="dxa" w:w="425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蝴蝶树归约，64节点，内嵌加法器</w:t>
            </w:r>
          </w:p>
        </w:tc>
      </w:tr>
      <w:tr>
        <w:tc>
          <w:tcPr>
            <w:tcW w:type="dxa" w:w="124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4'b0010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ALLTOALL</w:t>
            </w:r>
          </w:p>
        </w:tc>
        <w:tc>
          <w:tcPr>
            <w:tcW w:type="dxa" w:w="130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NPC-AA</w:t>
            </w:r>
          </w:p>
        </w:tc>
        <w:tc>
          <w:tcPr>
            <w:tcW w:type="dxa" w:w="42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全连接路由，32x32交叉开关</w:t>
            </w:r>
          </w:p>
        </w:tc>
      </w:tr>
      <w:tr>
        <w:tc>
          <w:tcPr>
            <w:tcW w:type="dxa" w:w="124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4'b0011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REDUCESCATTER</w:t>
            </w:r>
          </w:p>
        </w:tc>
        <w:tc>
          <w:tcPr>
            <w:tcW w:type="dxa" w:w="130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NPC-RS</w:t>
            </w:r>
          </w:p>
        </w:tc>
        <w:tc>
          <w:tcPr>
            <w:tcW w:type="dxa" w:w="425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流水线分段聚合，64节点</w:t>
            </w:r>
          </w:p>
        </w:tc>
      </w:tr>
      <w:tr>
        <w:tc>
          <w:tcPr>
            <w:tcW w:type="dxa" w:w="124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4'b0100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ALLGATHER</w:t>
            </w:r>
          </w:p>
        </w:tc>
        <w:tc>
          <w:tcPr>
            <w:tcW w:type="dxa" w:w="130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NPC-AG</w:t>
            </w:r>
          </w:p>
        </w:tc>
        <w:tc>
          <w:tcPr>
            <w:tcW w:type="dxa" w:w="42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径向多播汇聚，64节点</w:t>
            </w:r>
          </w:p>
        </w:tc>
      </w:tr>
      <w:tr>
        <w:tc>
          <w:tcPr>
            <w:tcW w:type="dxa" w:w="124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4'b0101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BROADCAST+REDUCE</w:t>
            </w:r>
          </w:p>
        </w:tc>
        <w:tc>
          <w:tcPr>
            <w:tcW w:type="dxa" w:w="130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NPC-BC</w:t>
            </w:r>
          </w:p>
        </w:tc>
        <w:tc>
          <w:tcPr>
            <w:tcW w:type="dxa" w:w="425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稀疏有向树广播，可配置深度</w:t>
            </w:r>
          </w:p>
        </w:tc>
      </w:tr>
      <w:tr>
        <w:tc>
          <w:tcPr>
            <w:tcW w:type="dxa" w:w="124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4'b1001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MAP</w:t>
            </w:r>
          </w:p>
        </w:tc>
        <w:tc>
          <w:tcPr>
            <w:tcW w:type="dxa" w:w="130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CPC-M</w:t>
            </w:r>
          </w:p>
        </w:tc>
        <w:tc>
          <w:tcPr>
            <w:tcW w:type="dxa" w:w="42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脉动阵列矩阵乘，8x8 PE，512 MAC/cycle</w:t>
            </w:r>
          </w:p>
        </w:tc>
      </w:tr>
      <w:tr>
        <w:tc>
          <w:tcPr>
            <w:tcW w:type="dxa" w:w="124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4'b1010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REDUCE</w:t>
            </w:r>
          </w:p>
        </w:tc>
        <w:tc>
          <w:tcPr>
            <w:tcW w:type="dxa" w:w="130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CPC-R</w:t>
            </w:r>
          </w:p>
        </w:tc>
        <w:tc>
          <w:tcPr>
            <w:tcW w:type="dxa" w:w="425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树形归约器，sum/max/min/avg</w:t>
            </w:r>
          </w:p>
        </w:tc>
      </w:tr>
      <w:tr>
        <w:tc>
          <w:tcPr>
            <w:tcW w:type="dxa" w:w="124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4'b1011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SCAN</w:t>
            </w:r>
          </w:p>
        </w:tc>
        <w:tc>
          <w:tcPr>
            <w:tcW w:type="dxa" w:w="130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CPC-S</w:t>
            </w:r>
          </w:p>
        </w:tc>
        <w:tc>
          <w:tcPr>
            <w:tcW w:type="dxa" w:w="42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Brent-Kung并行前缀扫描，FFT复用</w:t>
            </w:r>
          </w:p>
        </w:tc>
      </w:tr>
      <w:tr>
        <w:tc>
          <w:tcPr>
            <w:tcW w:type="dxa" w:w="124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4'b1100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TRANSFORM</w:t>
            </w:r>
          </w:p>
        </w:tc>
        <w:tc>
          <w:tcPr>
            <w:tcW w:type="dxa" w:w="130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CPC-T</w:t>
            </w:r>
          </w:p>
        </w:tc>
        <w:tc>
          <w:tcPr>
            <w:tcW w:type="dxa" w:w="425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地址重排+查表，Softmax/GELU近似</w:t>
            </w:r>
          </w:p>
        </w:tc>
      </w:tr>
      <w:tr>
        <w:tc>
          <w:tcPr>
            <w:tcW w:type="dxa" w:w="124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4'b1111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SDI_RECONFIG</w:t>
            </w:r>
          </w:p>
        </w:tc>
        <w:tc>
          <w:tcPr>
            <w:tcW w:type="dxa" w:w="130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SDI-Ctrl</w:t>
            </w:r>
          </w:p>
        </w:tc>
        <w:tc>
          <w:tcPr>
            <w:tcW w:type="dxa" w:w="425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拓扑重构命令，&lt;100ns响应</w:t>
            </w:r>
          </w:p>
        </w:tc>
      </w:tr>
    </w:tbl>
    <w:p/>
    <w:p>
      <w:pPr>
        <w:pStyle w:val="Heading2"/>
        <w:spacing w:before="240" w:after="120"/>
      </w:pPr>
      <w:r>
        <w:t>1.5  SDI控制器（SDI-Ctrl）职责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SDI-Ctrl是三类芯粒的指挥中枢，负责以下六项核心功能：</w:t>
      </w:r>
    </w:p>
    <w:p>
      <w:pPr>
        <w:pStyle w:val="ListBullet"/>
      </w:pPr>
      <w:r>
        <w:rPr>
          <w:sz w:val="21"/>
        </w:rPr>
        <w:t>1. 接收上层软件（PyiNEST/NCCL插件）的原语调用请求</w:t>
      </w:r>
    </w:p>
    <w:p>
      <w:pPr>
        <w:pStyle w:val="ListBullet"/>
      </w:pPr>
      <w:r>
        <w:rPr>
          <w:sz w:val="21"/>
        </w:rPr>
        <w:t>2. 解析当前任务通信模式（AllReduce/AlltoAll/信号处理等）</w:t>
      </w:r>
    </w:p>
    <w:p>
      <w:pPr>
        <w:pStyle w:val="ListBullet"/>
      </w:pPr>
      <w:r>
        <w:rPr>
          <w:sz w:val="21"/>
        </w:rPr>
        <w:t>3. 查询拓扑配置表，选择HPC模式/AI推理模式/信号处理模式</w:t>
      </w:r>
    </w:p>
    <w:p>
      <w:pPr>
        <w:pStyle w:val="ListBullet"/>
      </w:pPr>
      <w:r>
        <w:rPr>
          <w:sz w:val="21"/>
        </w:rPr>
        <w:t>4. 向所有NPC/CPC芯粒广播TOPO_CFG配置字（64bit）</w:t>
      </w:r>
    </w:p>
    <w:p>
      <w:pPr>
        <w:pStyle w:val="ListBullet"/>
      </w:pPr>
      <w:r>
        <w:rPr>
          <w:sz w:val="21"/>
        </w:rPr>
        <w:t>5. 监控READY/VALID握手信号，管理Credit流控信用</w:t>
      </w:r>
    </w:p>
    <w:p>
      <w:pPr>
        <w:pStyle w:val="ListBullet"/>
      </w:pPr>
      <w:r>
        <w:rPr>
          <w:sz w:val="21"/>
        </w:rPr>
        <w:t>6. 统计性能计数器（延迟、带宽利用率）供上层调优</w:t>
      </w:r>
    </w:p>
    <w:p>
      <w:r>
        <w:br w:type="page"/>
      </w:r>
    </w:p>
    <w:p>
      <w:pPr>
        <w:pStyle w:val="Heading1"/>
        <w:spacing w:before="240" w:after="120"/>
      </w:pPr>
      <w:r>
        <w:t>第二部分  三类芯粒互联布局关系</w:t>
      </w:r>
    </w:p>
    <w:p>
      <w:pPr>
        <w:pStyle w:val="Heading2"/>
        <w:spacing w:before="240" w:after="120"/>
      </w:pPr>
      <w:r>
        <w:t>2.1  单板卡物理布局（22nm MPW流片后封装）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板卡形态：半高半长PCIe卡。封装方式：2.5D CoWoS封装（9颗原语芯粒+SDI-Ctrl+HBM2E集成于同一interposer上）。总芯片面积约89mm²，板卡功耗&lt;30W（HPC模式），&lt;25W（AI推理模式）。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芯粒名称</w:t>
            </w:r>
          </w:p>
        </w:tc>
        <w:tc>
          <w:tcPr>
            <w:tcW w:type="dxa" w:w="10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面积</w:t>
            </w:r>
          </w:p>
        </w:tc>
        <w:tc>
          <w:tcPr>
            <w:tcW w:type="dxa" w:w="408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上排-1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NPC-AR（AllReduce）</w:t>
            </w:r>
          </w:p>
        </w:tc>
        <w:tc>
          <w:tcPr>
            <w:tcW w:type="dxa" w:w="102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8mm²</w:t>
            </w:r>
          </w:p>
        </w:tc>
        <w:tc>
          <w:tcPr>
            <w:tcW w:type="dxa" w:w="408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蝴蝶树归约，64节点，延迟45ns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上排-2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NPC-AA（AlltoAll）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12mm²</w:t>
            </w:r>
          </w:p>
        </w:tc>
        <w:tc>
          <w:tcPr>
            <w:tcW w:type="dxa" w:w="408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全连接路由，32x32，延迟80ns</w:t>
            </w:r>
          </w:p>
        </w:tc>
      </w:tr>
      <w:tr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上排-3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NPC-RS（ReduceScatter）</w:t>
            </w:r>
          </w:p>
        </w:tc>
        <w:tc>
          <w:tcPr>
            <w:tcW w:type="dxa" w:w="102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8mm²</w:t>
            </w:r>
          </w:p>
        </w:tc>
        <w:tc>
          <w:tcPr>
            <w:tcW w:type="dxa" w:w="408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流水线聚合，64节点，延迟60ns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上排-4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SDI-Ctrl（拓扑调度）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10mm²</w:t>
            </w:r>
          </w:p>
        </w:tc>
        <w:tc>
          <w:tcPr>
            <w:tcW w:type="dxa" w:w="408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三场景拓扑配置，&lt;500ns切换</w:t>
            </w:r>
          </w:p>
        </w:tc>
      </w:tr>
      <w:tr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中间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SDIO-N片上互联总线</w:t>
            </w:r>
          </w:p>
        </w:tc>
        <w:tc>
          <w:tcPr>
            <w:tcW w:type="dxa" w:w="102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408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256b @16Gbps，连接所有芯粒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下排-1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NPC-AG（AllGather）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6mm²</w:t>
            </w:r>
          </w:p>
        </w:tc>
        <w:tc>
          <w:tcPr>
            <w:tcW w:type="dxa" w:w="408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径向多播，64节点，延迟35ns</w:t>
            </w:r>
          </w:p>
        </w:tc>
      </w:tr>
      <w:tr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下排-2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NPC-BC（Broadcast）</w:t>
            </w:r>
          </w:p>
        </w:tc>
        <w:tc>
          <w:tcPr>
            <w:tcW w:type="dxa" w:w="102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5mm²</w:t>
            </w:r>
          </w:p>
        </w:tc>
        <w:tc>
          <w:tcPr>
            <w:tcW w:type="dxa" w:w="408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稀疏树广播，延迟25ns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下排-3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CPC-M（Map/GEMM）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15mm²</w:t>
            </w:r>
          </w:p>
        </w:tc>
        <w:tc>
          <w:tcPr>
            <w:tcW w:type="dxa" w:w="408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8x8脉动阵列，2TOPS，FP16</w:t>
            </w:r>
          </w:p>
        </w:tc>
      </w:tr>
      <w:tr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下排-4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CPC-R（Reduce）</w:t>
            </w:r>
          </w:p>
        </w:tc>
        <w:tc>
          <w:tcPr>
            <w:tcW w:type="dxa" w:w="102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4mm²</w:t>
            </w:r>
          </w:p>
        </w:tc>
        <w:tc>
          <w:tcPr>
            <w:tcW w:type="dxa" w:w="408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树形归约，1024元素/cycle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底部-1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CPC-S（Scan/FFT）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6mm²</w:t>
            </w:r>
          </w:p>
        </w:tc>
        <w:tc>
          <w:tcPr>
            <w:tcW w:type="dxa" w:w="408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并行前缀+FFT蝴蝶，[原创]复用NPC-AR路径</w:t>
            </w:r>
          </w:p>
        </w:tc>
      </w:tr>
      <w:tr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底部-2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CPC-T（Transform）</w:t>
            </w:r>
          </w:p>
        </w:tc>
        <w:tc>
          <w:tcPr>
            <w:tcW w:type="dxa" w:w="102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5mm²</w:t>
            </w:r>
          </w:p>
        </w:tc>
        <w:tc>
          <w:tcPr>
            <w:tcW w:type="dxa" w:w="408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Softmax/GELU近似，误差&lt;0.1%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底部-3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HBM2E x2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408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32GB共享高速内存</w:t>
            </w:r>
          </w:p>
        </w:tc>
      </w:tr>
      <w:tr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底部接口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PCIe Gen5 x16</w:t>
            </w:r>
          </w:p>
        </w:tc>
        <w:tc>
          <w:tcPr>
            <w:tcW w:type="dxa" w:w="102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408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主机接口，双向~512GB/s</w:t>
            </w:r>
          </w:p>
        </w:tc>
      </w:tr>
    </w:tbl>
    <w:p/>
    <w:p>
      <w:pPr>
        <w:pStyle w:val="Heading2"/>
        <w:spacing w:before="240" w:after="120"/>
      </w:pPr>
      <w:r>
        <w:t>2.2  三种场景数据流路径</w:t>
      </w:r>
    </w:p>
    <w:p>
      <w:pPr>
        <w:pStyle w:val="Heading3"/>
        <w:spacing w:before="120" w:after="120"/>
      </w:pPr>
      <w:r>
        <w:t>2.2.1  场景A：超算HPC（CFD/FFT/分子动力学）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数据流路径：外部数据 -&gt; PCIe -&gt; HBM2E（暂存）-&gt; CPC-M（局部矩乘，PDE迭代）-&gt; NPC-AR（AllReduce，边界Halo同步）-&gt; CPC-S（前缀扫描，累积统计）-&gt; SDI-Ctrl判断收敛 -&gt; PCIe -&gt; 主机（输出）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SDI拓扑配置（HPC模式）：NPC-AR采用Butterfly树深度6、64节点；CPC-M+CPC-S流水线串联无气泡；拓扑切换NPC-AR&lt;-&gt;NPC-RS小于100ns；SDIO-N带宽分配：NPC-AR 50%、CPC-M 30%、CPC-S 20%。</w:t>
      </w:r>
    </w:p>
    <w:p>
      <w:pPr>
        <w:pStyle w:val="Heading3"/>
        <w:spacing w:before="120" w:after="120"/>
      </w:pPr>
      <w:r>
        <w:t>2.2.2  场景B：智算AI推理（L4推理/多路视频分析）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数据流路径：视频流 -&gt; PCIe -&gt; HBM2E（帧缓冲）-&gt; CPC-M（卷积/GEMM主力）-&gt; [CPC-R（局部归约）+ CPC-T（BatchNorm/Softmax/GELU）] -&gt; NPC-AA（AlltoAll，MoE专家路由）-&gt; NPC-AR（AllReduce，多卡同步）-&gt; NPC-AG（AllGather，结果广播）-&gt; PCIe -&gt; 主机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SDI拓扑配置（AI推理模式）：CPC-M独占SDIO-N总线60%带宽；NPC-AA全连通32路专家并发；NPC-AR环形4卡聚合；CPC层与NPC层并行流水无等待；延迟确定性&lt;1ms（P99）。</w:t>
      </w:r>
    </w:p>
    <w:p>
      <w:pPr>
        <w:pStyle w:val="Heading3"/>
        <w:spacing w:before="120" w:after="120"/>
      </w:pPr>
      <w:r>
        <w:t>2.2.3  场景C：信号处理（雷达CFAR/OFDM/波束成形）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数据流路径：ADC采样 -&gt; PCIe -&gt; HBM2E -&gt; CPC-S（并行FFT蝴蝶，[原创]复用NPC-AR物理路径）-&gt; [NPC-RS（CFAR滑窗归约）+ CPC-M（复数乘加波束成形）] -&gt; NPC-AG（多天线广播）-&gt; CPC-T（非线性检测门限）-&gt; PCIe -&gt; 主机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[原创] FFT-AllReduce同构定理（原创）：CPC-S蝴蝶运算图与NPC-AR蝴蝶拓扑图论同构，两颗芯粒共享物理数据路径，节省约30%布线资源，同时支持信号处理与通信场景的统一硬件平台。</w:t>
      </w:r>
    </w:p>
    <w:p>
      <w:pPr>
        <w:pStyle w:val="Heading2"/>
        <w:spacing w:before="240" w:after="120"/>
      </w:pPr>
      <w:r>
        <w:t>2.3  多板卡扩展布局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58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扩展层级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互联方式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延迟</w:t>
            </w:r>
          </w:p>
        </w:tc>
        <w:tc>
          <w:tcPr>
            <w:tcW w:type="dxa" w:w="181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典型场景</w:t>
            </w:r>
          </w:p>
        </w:tc>
      </w:tr>
      <w:tr>
        <w:tc>
          <w:tcPr>
            <w:tcW w:type="dxa" w:w="158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单板卡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9颗芯粒+HBM2E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SDIO-N片上总线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&lt;2ns</w:t>
            </w:r>
          </w:p>
        </w:tc>
        <w:tc>
          <w:tcPr>
            <w:tcW w:type="dxa" w:w="181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原型验证、产品原型</w:t>
            </w:r>
          </w:p>
        </w:tc>
      </w:tr>
      <w:tr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4板卡机箱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256节点AllReduce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板间SDIO-N光纤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&lt;10ns</w:t>
            </w:r>
          </w:p>
        </w:tc>
        <w:tc>
          <w:tcPr>
            <w:tcW w:type="dxa" w:w="181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产品级验证</w:t>
            </w:r>
          </w:p>
        </w:tc>
      </w:tr>
      <w:tr>
        <w:tc>
          <w:tcPr>
            <w:tcW w:type="dxa" w:w="158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16板卡机柜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1024节点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机柜100Gbps以太网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&lt;100ns</w:t>
            </w:r>
          </w:p>
        </w:tc>
        <w:tc>
          <w:tcPr>
            <w:tcW w:type="dxa" w:w="181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超算节点验证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第三部分  正式项目申报书</w:t>
      </w:r>
    </w:p>
    <w:p>
      <w:pPr>
        <w:pStyle w:val="Heading1"/>
        <w:spacing w:before="240" w:after="120"/>
      </w:pPr>
      <w:r>
        <w:t>一、立项意义</w:t>
      </w:r>
    </w:p>
    <w:p>
      <w:pPr>
        <w:pStyle w:val="Heading2"/>
        <w:spacing w:before="240" w:after="120"/>
      </w:pPr>
      <w:r>
        <w:t>1.1  战略背景：冯·诺依曼范式遭遇根本瓶颈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当前人工智能、超级计算、实时信号处理三大领域对算力的需求持续爆发，但支撑这些需求的计算架构在过去70年间没有发生范式级变革：无论是CPU集群还是GPU集群，均沿袭冯·诺依曼&lt;&lt;节点中心&gt;&gt;范式——数据必须被搬运到计算节点才能被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矛盾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量化表现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根因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通信墙</w:t>
            </w:r>
          </w:p>
        </w:tc>
        <w:tc>
          <w:tcPr>
            <w:tcW w:type="dxa" w:w="3969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万卡AI训练集群中，集合通信占总时间40-70%</w:t>
            </w:r>
          </w:p>
        </w:tc>
        <w:tc>
          <w:tcPr>
            <w:tcW w:type="dxa" w:w="311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计算与通信分离，数据反复搬运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功耗墙</w:t>
            </w:r>
          </w:p>
        </w:tc>
        <w:tc>
          <w:tcPr>
            <w:tcW w:type="dxa" w:w="3969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数据中心PUE持续恶化，训练单次成本超百万元</w:t>
            </w:r>
          </w:p>
        </w:tc>
        <w:tc>
          <w:tcPr>
            <w:tcW w:type="dxa" w:w="311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无效数据移动消耗大量能量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扩展墙</w:t>
            </w:r>
          </w:p>
        </w:tc>
        <w:tc>
          <w:tcPr>
            <w:tcW w:type="dxa" w:w="3969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集群扩展效率随节点数增加持续下降（典型值0.6-0.7）</w:t>
            </w:r>
          </w:p>
        </w:tc>
        <w:tc>
          <w:tcPr>
            <w:tcW w:type="dxa" w:w="311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固定拓扑无法适应动态通信模式</w:t>
            </w:r>
          </w:p>
        </w:tc>
      </w:tr>
    </w:tbl>
    <w:p/>
    <w:p>
      <w:pPr>
        <w:pStyle w:val="Heading2"/>
        <w:spacing w:before="240" w:after="120"/>
      </w:pPr>
      <w:r>
        <w:t>1.2  范式创新机遇：复杂网络x简单节点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本项目提出并验证网络中心计算（Network-Centric Computing，NCC）新范式：将计算中心从节点迁移到网络——物理拓扑即计算。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核心命题：任意分布式计算均可分解为路由（Route）与变换（Transform）两类操作。路由操作（集合通信：AllReduce/AlltoAll/ReduceScatter/AllGather/Broadcast）可由物理网络拓扑原生承担；变换操作（GEMM/归约/扫描/重排）由极简计算节点完成。当9类通信-算子原语芯粒通过SDI动态组合时，同样的硅面积可实现3-5倍的有效算力提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范式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时期</w:t>
            </w:r>
          </w:p>
        </w:tc>
        <w:tc>
          <w:tcPr>
            <w:tcW w:type="dxa" w:w="4819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核心特征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第一范式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1945-2010</w:t>
            </w:r>
          </w:p>
        </w:tc>
        <w:tc>
          <w:tcPr>
            <w:tcW w:type="dxa" w:w="4819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CPU节点中心——复杂节点x简单网络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第二范式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2010-今</w:t>
            </w:r>
          </w:p>
        </w:tc>
        <w:tc>
          <w:tcPr>
            <w:tcW w:type="dxa" w:w="4819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GPU/加速器集群——仍是节点中心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第三范式（本项目）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2026起</w:t>
            </w:r>
          </w:p>
        </w:tc>
        <w:tc>
          <w:tcPr>
            <w:tcW w:type="dxa" w:w="4819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网络中心计算——物理拓扑即计算（复杂网络x简单节点）</w:t>
            </w:r>
          </w:p>
        </w:tc>
      </w:tr>
    </w:tbl>
    <w:p/>
    <w:p>
      <w:pPr>
        <w:pStyle w:val="Heading2"/>
        <w:spacing w:before="240" w:after="120"/>
      </w:pPr>
      <w:r>
        <w:t>1.3  对天津市及国家的战略意义</w:t>
      </w:r>
    </w:p>
    <w:p>
      <w:pPr>
        <w:spacing w:after="80"/>
        <w:ind w:firstLine="420"/>
      </w:pPr>
      <w:r>
        <w:rPr>
          <w:rFonts w:ascii="宋体" w:hAnsi="宋体"/>
          <w:sz w:val="21"/>
        </w:rPr>
        <w:t>[技术自主]突破NVIDIA NVLink/InfiniBand互连封锁，掌握集合通信物理拓扑定义权——这是制约国产AI算力体系能否独立运行的最后一块短板。</w:t>
      </w:r>
    </w:p>
    <w:p>
      <w:pPr>
        <w:spacing w:after="80"/>
        <w:ind w:firstLine="420"/>
      </w:pPr>
      <w:r>
        <w:rPr>
          <w:rFonts w:ascii="宋体" w:hAnsi="宋体"/>
          <w:sz w:val="21"/>
        </w:rPr>
        <w:t>[产业换道]在芯粒（Chiplet）异构集成新赛道上，建立中国主导的SDIO-N接口标准，避免重蹈RISC-V时代&lt;&lt;架构自主但生态依赖&gt;&gt;的困境。</w:t>
      </w:r>
    </w:p>
    <w:p>
      <w:pPr>
        <w:spacing w:after="80"/>
        <w:ind w:firstLine="420"/>
      </w:pPr>
      <w:r>
        <w:rPr>
          <w:rFonts w:ascii="宋体" w:hAnsi="宋体"/>
          <w:sz w:val="21"/>
        </w:rPr>
        <w:t>[科学前沿]为网络时空协同复杂度（CST）理论提供工程验证平台，推动&lt;&lt;复杂网络x简单节点&gt;&gt;在超算、智算、信号处理三大场景的规律性认知，支撑后续国家重大专项布局。</w:t>
      </w:r>
    </w:p>
    <w:p>
      <w:pPr>
        <w:pStyle w:val="Heading1"/>
        <w:spacing w:before="240" w:after="120"/>
      </w:pPr>
      <w:r>
        <w:t>二、研究必要性与紧迫性</w:t>
      </w:r>
    </w:p>
    <w:p>
      <w:pPr>
        <w:pStyle w:val="Heading2"/>
        <w:spacing w:before="240" w:after="120"/>
      </w:pPr>
      <w:r>
        <w:t>2.1  技术缺口（国内现有方案无法解决）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技术需求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现有最优方案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本项目方案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提升倍数</w:t>
            </w:r>
          </w:p>
        </w:tc>
      </w:tr>
      <w:tr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AllReduce延迟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InfiniBand HDR: 5μs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NPC-AR物理硬化: 45ns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110x</w:t>
            </w:r>
          </w:p>
        </w:tc>
      </w:tr>
      <w:tr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推理延迟确定性</w:t>
            </w:r>
          </w:p>
        </w:tc>
        <w:tc>
          <w:tcPr>
            <w:tcW w:type="dxa" w:w="255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GPU L4抖动: 1-10ms</w:t>
            </w:r>
          </w:p>
        </w:tc>
        <w:tc>
          <w:tcPr>
            <w:tcW w:type="dxa" w:w="255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NPC+CPC硬件调度: &lt;1ms确定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首次确定性保障</w:t>
            </w:r>
          </w:p>
        </w:tc>
      </w:tr>
      <w:tr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集群扩展效率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MPI软件栈: 0.65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SDI动态拓扑: &gt;0.95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1.46x</w:t>
            </w:r>
          </w:p>
        </w:tc>
      </w:tr>
      <w:tr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FFT处理延迟</w:t>
            </w:r>
          </w:p>
        </w:tc>
        <w:tc>
          <w:tcPr>
            <w:tcW w:type="dxa" w:w="255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FPGA软IP: 5μs</w:t>
            </w:r>
          </w:p>
        </w:tc>
        <w:tc>
          <w:tcPr>
            <w:tcW w:type="dxa" w:w="255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CPC-S硬化: &lt;500ns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10x</w:t>
            </w:r>
          </w:p>
        </w:tc>
      </w:tr>
      <w:tr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计算资源利用率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GPU通用推理: 20-30%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NPC+CPC专用流水: &gt;85%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3-4x</w:t>
            </w:r>
          </w:p>
        </w:tc>
      </w:tr>
    </w:tbl>
    <w:p/>
    <w:p>
      <w:pPr>
        <w:pStyle w:val="Heading2"/>
        <w:spacing w:before="240" w:after="120"/>
      </w:pPr>
      <w:r>
        <w:t>2.2  战略窗口（三年不可逆）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2026-2028年是国内AI算力基础设施大规模建设关键窗口期。若届时未形成自主集合通信物理拓扑体系，国内万卡集群将长期运行在NVIDIA生态定义的拓扑框架内，形成路径锁定，弯道超车窗口永久关闭。</w:t>
      </w:r>
    </w:p>
    <w:p>
      <w:pPr>
        <w:pStyle w:val="Heading2"/>
        <w:spacing w:before="240" w:after="120"/>
      </w:pPr>
      <w:r>
        <w:t>2.3  研究基础（课题组支撑）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成果类型</w:t>
            </w:r>
          </w:p>
        </w:tc>
        <w:tc>
          <w:tcPr>
            <w:tcW w:type="dxa" w:w="5669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核心理论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SDI化合键+CST框架+5定理体系（路由-变换分解定理、完备性定理、FFT-AllReduce同构定理、RI上界定理、时空耦合最大化定理）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完成，专利布局中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FPGA原型</w:t>
            </w:r>
          </w:p>
        </w:tc>
        <w:tc>
          <w:tcPr>
            <w:tcW w:type="dxa" w:w="5669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NPC-AR延迟测试&lt;480ns（目标22nm后&lt;45ns）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完成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算法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PTM（原语拓扑映射）算法v1.0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完成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软件框架</w:t>
            </w:r>
          </w:p>
        </w:tc>
        <w:tc>
          <w:tcPr>
            <w:tcW w:type="dxa" w:w="5669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PyiNEST骨架，NCCL插件草稿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进行中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接口标准</w:t>
            </w:r>
          </w:p>
        </w:tc>
        <w:tc>
          <w:tcPr>
            <w:tcW w:type="dxa" w:w="5669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SDIO-N v0.3草案（L1-L4四层协议）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进行中</w:t>
            </w:r>
          </w:p>
        </w:tc>
      </w:tr>
    </w:tbl>
    <w:p/>
    <w:p>
      <w:pPr>
        <w:pStyle w:val="Heading1"/>
        <w:spacing w:before="240" w:after="120"/>
      </w:pPr>
      <w:r>
        <w:t>三、研究内容</w:t>
      </w:r>
    </w:p>
    <w:p>
      <w:pPr>
        <w:pStyle w:val="Heading2"/>
        <w:spacing w:before="240" w:after="120"/>
      </w:pPr>
      <w:r>
        <w:t>3.1  总体技术架构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68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软件层（L6）</w:t>
            </w:r>
          </w:p>
        </w:tc>
        <w:tc>
          <w:tcPr>
            <w:tcW w:type="dxa" w:w="3685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PyiNEST框架、NCCL插件、编译器（原语映射）</w:t>
            </w:r>
          </w:p>
        </w:tc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统一编程接口，屏蔽底层硬件差异</w:t>
            </w:r>
          </w:p>
        </w:tc>
      </w:tr>
      <w:tr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SDI控制层（L5）</w:t>
            </w:r>
          </w:p>
        </w:tc>
        <w:tc>
          <w:tcPr>
            <w:tcW w:type="dxa" w:w="3685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SDI-Ctrl芯粒：拓扑调度、性能监控、场景切换</w:t>
            </w:r>
          </w:p>
        </w:tc>
        <w:tc>
          <w:tcPr>
            <w:tcW w:type="dxa" w:w="2835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三场景动态重构，&lt;500ns热切换</w:t>
            </w:r>
          </w:p>
        </w:tc>
      </w:tr>
      <w:tr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SDIO-N接口层（L4）</w:t>
            </w:r>
          </w:p>
        </w:tc>
        <w:tc>
          <w:tcPr>
            <w:tcW w:type="dxa" w:w="3685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L1物理层/L2链路层/L3协议层/L4语义层</w:t>
            </w:r>
          </w:p>
        </w:tc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芯粒间统一互联规范，国产标准</w:t>
            </w:r>
          </w:p>
        </w:tc>
      </w:tr>
      <w:tr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通信原语层（L3）</w:t>
            </w:r>
          </w:p>
        </w:tc>
        <w:tc>
          <w:tcPr>
            <w:tcW w:type="dxa" w:w="3685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NPC-AR、NPC-AA、NPC-RS、NPC-AG、NPC-BC</w:t>
            </w:r>
          </w:p>
        </w:tc>
        <w:tc>
          <w:tcPr>
            <w:tcW w:type="dxa" w:w="2835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5类集合通信原语硬化芯粒</w:t>
            </w:r>
          </w:p>
        </w:tc>
      </w:tr>
      <w:tr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算子原语层（L2）</w:t>
            </w:r>
          </w:p>
        </w:tc>
        <w:tc>
          <w:tcPr>
            <w:tcW w:type="dxa" w:w="3685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CPC-M、CPC-R、CPC-S、CPC-T</w:t>
            </w:r>
          </w:p>
        </w:tc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4类计算算子原语硬化芯粒</w:t>
            </w:r>
          </w:p>
        </w:tc>
      </w:tr>
      <w:tr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验证场景层（L1）</w:t>
            </w:r>
          </w:p>
        </w:tc>
        <w:tc>
          <w:tcPr>
            <w:tcW w:type="dxa" w:w="3685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超算HPC、智算AI推理、信号处理</w:t>
            </w:r>
          </w:p>
        </w:tc>
        <w:tc>
          <w:tcPr>
            <w:tcW w:type="dxa" w:w="2835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三域统一验证，覆盖主要应用场景</w:t>
            </w:r>
          </w:p>
        </w:tc>
      </w:tr>
    </w:tbl>
    <w:p/>
    <w:p>
      <w:pPr>
        <w:pStyle w:val="Heading2"/>
        <w:spacing w:before="240" w:after="120"/>
      </w:pPr>
      <w:r>
        <w:t>3.2  任务一：SDIO-N接口标准制定与验证（Year 1，300万元）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研究内容：（1）制定SDIO-N接口标准完整规范（L1-L4四层），覆盖信号定义、时序约束、协议语义、拓扑重构命令集；（2）开发标准一致性测试套件（Compliance Test Suite）；（3）在FPGA平台（Xilinx VCU128）上验证SDIO-N协议正确性；（4）向CCIA（中国芯片工业协会）提交标准提案。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关键指标：SDIO-N物理层延迟&lt;2ns；协议开销&lt;5%；拓扑重构命令响应&lt;100ns；标准提案提交CCIA；专利布局≥5项。</w:t>
      </w:r>
    </w:p>
    <w:p>
      <w:pPr>
        <w:pStyle w:val="Heading2"/>
        <w:spacing w:before="240" w:after="120"/>
      </w:pPr>
      <w:r>
        <w:t>3.3  任务二：5类通信原语芯粒（NPC）设计与流片（Year 1-2，450万元）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24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芯粒</w:t>
            </w:r>
          </w:p>
        </w:tc>
        <w:tc>
          <w:tcPr>
            <w:tcW w:type="dxa" w:w="272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核心架构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Year1 FPGA验证指标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Year2流片指标（22nm）</w:t>
            </w:r>
          </w:p>
        </w:tc>
      </w:tr>
      <w:tr>
        <w:tc>
          <w:tcPr>
            <w:tcW w:type="dxa" w:w="124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NPC-AR</w:t>
            </w:r>
          </w:p>
        </w:tc>
        <w:tc>
          <w:tcPr>
            <w:tcW w:type="dxa" w:w="272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Butterfly树，64节点，内嵌加法器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FPGA延迟&lt;500ns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&lt;45ns（比InfiniBand快110倍）</w:t>
            </w:r>
          </w:p>
        </w:tc>
      </w:tr>
      <w:tr>
        <w:tc>
          <w:tcPr>
            <w:tcW w:type="dxa" w:w="124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NPC-AA</w:t>
            </w:r>
          </w:p>
        </w:tc>
        <w:tc>
          <w:tcPr>
            <w:tcW w:type="dxa" w:w="272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NxN交叉开关，32x32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FPGA延迟&lt;2μs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&lt;80ns</w:t>
            </w:r>
          </w:p>
        </w:tc>
      </w:tr>
      <w:tr>
        <w:tc>
          <w:tcPr>
            <w:tcW w:type="dxa" w:w="124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NPC-RS</w:t>
            </w:r>
          </w:p>
        </w:tc>
        <w:tc>
          <w:tcPr>
            <w:tcW w:type="dxa" w:w="272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流水线分段，64节点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FPGA延迟&lt;1μs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&lt;60ns</w:t>
            </w:r>
          </w:p>
        </w:tc>
      </w:tr>
      <w:tr>
        <w:tc>
          <w:tcPr>
            <w:tcW w:type="dxa" w:w="124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NPC-AG</w:t>
            </w:r>
          </w:p>
        </w:tc>
        <w:tc>
          <w:tcPr>
            <w:tcW w:type="dxa" w:w="272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径向多播，64节点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FPGA延迟&lt;300ns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&lt;35ns</w:t>
            </w:r>
          </w:p>
        </w:tc>
      </w:tr>
      <w:tr>
        <w:tc>
          <w:tcPr>
            <w:tcW w:type="dxa" w:w="124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NPC-BC</w:t>
            </w:r>
          </w:p>
        </w:tc>
        <w:tc>
          <w:tcPr>
            <w:tcW w:type="dxa" w:w="272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稀疏有向树，可配置深度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FPGA延迟&lt;200ns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&lt;25ns</w:t>
            </w:r>
          </w:p>
        </w:tc>
      </w:tr>
    </w:tbl>
    <w:p/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流片策略：NPC-AR/NPC-RS/NPC-BC共用reticle（Year 2 Q1，MPW-1，120万）；NPC-AA/NPC-AG/SDI-Ctrl（Year 2 Q2，MPW-2，120万）；修复版重流（Year 2 Q4，MPW-3，60万）。</w:t>
      </w:r>
    </w:p>
    <w:p>
      <w:pPr>
        <w:pStyle w:val="Heading2"/>
        <w:spacing w:before="240" w:after="120"/>
      </w:pPr>
      <w:r>
        <w:t>3.4  任务三：4类算子原语芯粒（CPC）设计与流片（Year 2-3，400万元）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24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芯粒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核心架构</w:t>
            </w:r>
          </w:p>
        </w:tc>
        <w:tc>
          <w:tcPr>
            <w:tcW w:type="dxa" w:w="272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规格参数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流片指标</w:t>
            </w:r>
          </w:p>
        </w:tc>
      </w:tr>
      <w:tr>
        <w:tc>
          <w:tcPr>
            <w:tcW w:type="dxa" w:w="124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CPC-M</w:t>
            </w:r>
          </w:p>
        </w:tc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脉动阵列8x8 PE</w:t>
            </w:r>
          </w:p>
        </w:tc>
        <w:tc>
          <w:tcPr>
            <w:tcW w:type="dxa" w:w="272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512 MAC/cycle，FP16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2 TOPS，面积15mm²</w:t>
            </w:r>
          </w:p>
        </w:tc>
      </w:tr>
      <w:tr>
        <w:tc>
          <w:tcPr>
            <w:tcW w:type="dxa" w:w="124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CPC-R</w:t>
            </w:r>
          </w:p>
        </w:tc>
        <w:tc>
          <w:tcPr>
            <w:tcW w:type="dxa" w:w="2835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树形归约，sum/max/min/avg</w:t>
            </w:r>
          </w:p>
        </w:tc>
        <w:tc>
          <w:tcPr>
            <w:tcW w:type="dxa" w:w="272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1024元素/cycle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面积4mm²</w:t>
            </w:r>
          </w:p>
        </w:tc>
      </w:tr>
      <w:tr>
        <w:tc>
          <w:tcPr>
            <w:tcW w:type="dxa" w:w="124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CPC-S（[原创]）</w:t>
            </w:r>
          </w:p>
        </w:tc>
        <w:tc>
          <w:tcPr>
            <w:tcW w:type="dxa" w:w="2835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Brent-Kung并行前缀（FFT复用NPC-AR路径）</w:t>
            </w:r>
          </w:p>
        </w:tc>
        <w:tc>
          <w:tcPr>
            <w:tcW w:type="dxa" w:w="272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1024元素/cycle，1024点FFT&lt;500ns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面积6mm²，节省30%布线</w:t>
            </w:r>
          </w:p>
        </w:tc>
      </w:tr>
      <w:tr>
        <w:tc>
          <w:tcPr>
            <w:tcW w:type="dxa" w:w="124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CPC-T</w:t>
            </w:r>
          </w:p>
        </w:tc>
        <w:tc>
          <w:tcPr>
            <w:tcW w:type="dxa" w:w="2835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地址重排+查表</w:t>
            </w:r>
          </w:p>
        </w:tc>
        <w:tc>
          <w:tcPr>
            <w:tcW w:type="dxa" w:w="272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Softmax/GELU近似，误差&lt;0.1%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面积5mm²</w:t>
            </w:r>
          </w:p>
        </w:tc>
      </w:tr>
    </w:tbl>
    <w:p/>
    <w:p>
      <w:pPr>
        <w:pStyle w:val="Heading2"/>
        <w:spacing w:before="240" w:after="120"/>
      </w:pPr>
      <w:r>
        <w:t>3.5  任务四：SDI控制器与三场景拓扑配置（Year 2，150万元）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研究内容：SDI-Ctrl芯片设计（原语调度+拓扑查找表+性能计数器）；三类场景拓扑配置文件（HPC模式/AI推理模式/信号处理模式）及场景切换协议（&lt;500ns热切换，无数据丢失）。</w:t>
      </w:r>
    </w:p>
    <w:p>
      <w:pPr>
        <w:pStyle w:val="Heading2"/>
        <w:spacing w:before="240" w:after="120"/>
      </w:pPr>
      <w:r>
        <w:t>3.6  任务五：板卡集成与三场景基准测试（Year 3，200万元）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研究内容：2.5D CoWoS封装集成（9颗原语芯粒+SDI-Ctrl+HBM2E）；PCIe Gen5驱动与PyiNEST软件栈开发；三场景基准测试（见第五部分考核指标）；64节点多板卡扩展验证。</w:t>
      </w:r>
    </w:p>
    <w:p>
      <w:pPr>
        <w:pStyle w:val="Heading1"/>
        <w:spacing w:before="240" w:after="120"/>
      </w:pPr>
      <w:r>
        <w:t>四、研究基础与条件</w:t>
      </w:r>
    </w:p>
    <w:p>
      <w:pPr>
        <w:pStyle w:val="Heading2"/>
        <w:spacing w:before="240" w:after="120"/>
      </w:pPr>
      <w:r>
        <w:t>4.1  课题组已有成果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天津大学iNEST（网络时空复杂度涌现智能）课题组已完成以下工作：SDI化合键理论框架（已发表，专利5项）；CST网络时空协同复杂度理论（核心公式I∝CST已建立）；FFT-AllReduce图论同构定理（原创，已证明）；AllReduce/AlltoAll/ReduceScatter FPGA原型验证（延迟指标初步达标）；SDIO-N接口协议草案v0.3。</w:t>
      </w:r>
    </w:p>
    <w:p>
      <w:pPr>
        <w:pStyle w:val="Heading2"/>
        <w:spacing w:before="240" w:after="120"/>
      </w:pPr>
      <w:r>
        <w:t>4.2  合作资源</w:t>
      </w:r>
    </w:p>
    <w:p>
      <w:pPr>
        <w:pStyle w:val="ListBullet"/>
      </w:pPr>
      <w:r>
        <w:rPr>
          <w:sz w:val="21"/>
        </w:rPr>
        <w:t>流片合作：中芯国际22nm工艺PDK对接（预洽谈中）</w:t>
      </w:r>
    </w:p>
    <w:p>
      <w:pPr>
        <w:pStyle w:val="ListBullet"/>
      </w:pPr>
      <w:r>
        <w:rPr>
          <w:sz w:val="21"/>
        </w:rPr>
        <w:t>封装合作：长电科技CoWoS 2.5D封装能力</w:t>
      </w:r>
    </w:p>
    <w:p>
      <w:pPr>
        <w:pStyle w:val="ListBullet"/>
      </w:pPr>
      <w:r>
        <w:rPr>
          <w:sz w:val="21"/>
        </w:rPr>
        <w:t>测试平台：天津大学微电子学院片上网络测试中心（自有）</w:t>
      </w:r>
    </w:p>
    <w:p>
      <w:pPr>
        <w:pStyle w:val="ListBullet"/>
      </w:pPr>
      <w:r>
        <w:rPr>
          <w:sz w:val="21"/>
        </w:rPr>
        <w:t>应用合作：华为昇腾团队（NCCL插件接口验证）</w:t>
      </w:r>
    </w:p>
    <w:p>
      <w:pPr>
        <w:pStyle w:val="Heading1"/>
        <w:spacing w:before="240" w:after="120"/>
      </w:pPr>
      <w:r>
        <w:t>五、预期成果与考核指标</w:t>
      </w:r>
    </w:p>
    <w:p>
      <w:pPr>
        <w:pStyle w:val="Heading2"/>
        <w:spacing w:before="240" w:after="120"/>
      </w:pPr>
      <w:r>
        <w:t>5.1  核心交付物（按年度）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708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交付物清单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Year 1（2026）</w:t>
            </w:r>
          </w:p>
        </w:tc>
        <w:tc>
          <w:tcPr>
            <w:tcW w:type="dxa" w:w="708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1. SDIO-N接口标准v1.0（送审CCIA）</w:t>
              <w:br/>
              <w:t>2. 5类NPC芯粒FPGA验证报告（延迟/带宽/正确性）</w:t>
              <w:br/>
              <w:t>3. 4类CPC芯粒RTL设计完成进入后端综合</w:t>
              <w:br/>
              <w:t>4. 发明专利申请≥8项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Year 2（2027）</w:t>
            </w:r>
          </w:p>
        </w:tc>
        <w:tc>
          <w:tcPr>
            <w:tcW w:type="dxa" w:w="708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1. NPCx5颗流片回片（22nm，2批次MPW）</w:t>
              <w:br/>
              <w:t>2. SDI-Ctrl芯粒设计定稿并流片</w:t>
              <w:br/>
              <w:t>3. 三场景拓扑配置文件与切换验证</w:t>
              <w:br/>
              <w:t>4. 学术论文≥3篇（IEEE TPDS/DAC/HPCA）</w:t>
              <w:br/>
              <w:t>5. 发明专利授权≥5项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Year 3（2028）</w:t>
            </w:r>
          </w:p>
        </w:tc>
        <w:tc>
          <w:tcPr>
            <w:tcW w:type="dxa" w:w="708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1. CPCx4颗流片回片（22nm，2批次MPW）</w:t>
              <w:br/>
              <w:t>2. 板卡集成原型（9颗芯粒+HBM2E）</w:t>
              <w:br/>
              <w:t>3. 三场景基准测试全部达到考核指标</w:t>
              <w:br/>
              <w:t>4. 64节点多板卡扩展验证</w:t>
              <w:br/>
              <w:t>5. 学术论文≥3篇（SC/ISSCC/Nature Electronics）</w:t>
              <w:br/>
              <w:t>6. RT-Infer-30 L4推理卡产品原型1台</w:t>
            </w:r>
          </w:p>
        </w:tc>
      </w:tr>
    </w:tbl>
    <w:p/>
    <w:p>
      <w:pPr>
        <w:pStyle w:val="Heading2"/>
        <w:spacing w:before="240" w:after="120"/>
      </w:pPr>
      <w:r>
        <w:t>5.2  量化考核指标（验收标准）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指标类型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具体指标</w:t>
            </w:r>
          </w:p>
        </w:tc>
        <w:tc>
          <w:tcPr>
            <w:tcW w:type="dxa" w:w="181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对标基准</w:t>
            </w:r>
          </w:p>
        </w:tc>
        <w:tc>
          <w:tcPr>
            <w:tcW w:type="dxa" w:w="158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测量方法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通信性能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AllReduce延迟（64节点）</w:t>
            </w:r>
          </w:p>
        </w:tc>
        <w:tc>
          <w:tcPr>
            <w:tcW w:type="dxa" w:w="181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≤45ns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InfiniBand 5μs</w:t>
            </w:r>
          </w:p>
        </w:tc>
        <w:tc>
          <w:tcPr>
            <w:tcW w:type="dxa" w:w="158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nccl-tests实测+示波器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通信性能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AlltoAll带宽（32节点）</w:t>
            </w:r>
          </w:p>
        </w:tc>
        <w:tc>
          <w:tcPr>
            <w:tcW w:type="dxa" w:w="181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≥400GB/s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InfiniBand 200GB/s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带宽压力测试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推理性能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ResNet-50推理延迟</w:t>
            </w:r>
          </w:p>
        </w:tc>
        <w:tc>
          <w:tcPr>
            <w:tcW w:type="dxa" w:w="181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≤1ms，P99确定性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GPU L4 P99=8ms</w:t>
            </w:r>
          </w:p>
        </w:tc>
        <w:tc>
          <w:tcPr>
            <w:tcW w:type="dxa" w:w="158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1000次连续推理统计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推理性能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8路4K视频同步吞吐</w:t>
            </w:r>
          </w:p>
        </w:tc>
        <w:tc>
          <w:tcPr>
            <w:tcW w:type="dxa" w:w="181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≥120fps/路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GPU L4: 30fps/路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视频流压力测试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信号处理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1024点FFT延迟</w:t>
            </w:r>
          </w:p>
        </w:tc>
        <w:tc>
          <w:tcPr>
            <w:tcW w:type="dxa" w:w="181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≤500ns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FPGA软IP: 5μs</w:t>
            </w:r>
          </w:p>
        </w:tc>
        <w:tc>
          <w:tcPr>
            <w:tcW w:type="dxa" w:w="158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示波器实测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信号处理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CFAR 128目标实时检测</w:t>
            </w:r>
          </w:p>
        </w:tc>
        <w:tc>
          <w:tcPr>
            <w:tcW w:type="dxa" w:w="181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≤2ms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DSP方案: 20ms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雷达仿真数据集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扩展性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64节点弱扩展效率</w:t>
            </w:r>
          </w:p>
        </w:tc>
        <w:tc>
          <w:tcPr>
            <w:tcW w:type="dxa" w:w="181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≥0.92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MPI集群: 0.65</w:t>
            </w:r>
          </w:p>
        </w:tc>
        <w:tc>
          <w:tcPr>
            <w:tcW w:type="dxa" w:w="158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ResNet分布式训练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能效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推理能效比</w:t>
            </w:r>
          </w:p>
        </w:tc>
        <w:tc>
          <w:tcPr>
            <w:tcW w:type="dxa" w:w="181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≥50 GOPS/W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GPU L4: 10 GOPS/W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焦耳表+性能计数器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接口标准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SDIO-N一致性测试通过率</w:t>
            </w:r>
          </w:p>
        </w:tc>
        <w:tc>
          <w:tcPr>
            <w:tcW w:type="dxa" w:w="181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无对标</w:t>
            </w:r>
          </w:p>
        </w:tc>
        <w:tc>
          <w:tcPr>
            <w:tcW w:type="dxa" w:w="158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自研Compliance Suite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场景切换</w:t>
            </w:r>
          </w:p>
        </w:tc>
        <w:tc>
          <w:tcPr>
            <w:tcW w:type="dxa" w:w="2268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三场景拓扑热切换时间</w:t>
            </w:r>
          </w:p>
        </w:tc>
        <w:tc>
          <w:tcPr>
            <w:tcW w:type="dxa" w:w="181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≤500ns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SDI-Ctrl计数器</w:t>
            </w:r>
          </w:p>
        </w:tc>
      </w:tr>
    </w:tbl>
    <w:p/>
    <w:p>
      <w:pPr>
        <w:pStyle w:val="Heading2"/>
        <w:spacing w:before="240" w:after="120"/>
      </w:pPr>
      <w:r>
        <w:t>5.3  五大创新点</w:t>
      </w:r>
    </w:p>
    <w:p>
      <w:pPr>
        <w:spacing w:after="80"/>
        <w:ind w:firstLine="420"/>
      </w:pPr>
      <w:r>
        <w:rPr>
          <w:rFonts w:ascii="宋体" w:hAnsi="宋体"/>
          <w:sz w:val="21"/>
        </w:rPr>
        <w:t>创新点1：首次提出并验证NCC范式：以9类原语芯粒+SDI动态编排实现&lt;&lt;物理拓扑即计算&gt;&gt;，突破70年未变的节点中心范式。</w:t>
      </w:r>
    </w:p>
    <w:p>
      <w:pPr>
        <w:spacing w:after="80"/>
        <w:ind w:firstLine="420"/>
      </w:pPr>
      <w:r>
        <w:rPr>
          <w:rFonts w:ascii="宋体" w:hAnsi="宋体"/>
          <w:sz w:val="21"/>
        </w:rPr>
        <w:t>创新点2：首次硬化5类集合通信原语：AllReduce端到端延迟降至45ns，比InfiniBand软件方案快110倍。</w:t>
      </w:r>
    </w:p>
    <w:p>
      <w:pPr>
        <w:spacing w:after="80"/>
        <w:ind w:firstLine="420"/>
      </w:pPr>
      <w:r>
        <w:rPr>
          <w:rFonts w:ascii="宋体" w:hAnsi="宋体"/>
          <w:sz w:val="21"/>
        </w:rPr>
        <w:t>创新点3：首次利用FFT-AllReduce同构定理：CPC-S与NPC-AR物理路径复用，节省约30%布线资源，实现信号处理与AI训练统一硬件平台。</w:t>
      </w:r>
    </w:p>
    <w:p>
      <w:pPr>
        <w:spacing w:after="80"/>
        <w:ind w:firstLine="420"/>
      </w:pPr>
      <w:r>
        <w:rPr>
          <w:rFonts w:ascii="宋体" w:hAnsi="宋体"/>
          <w:sz w:val="21"/>
        </w:rPr>
        <w:t>创新点4：首次制定SDIO-N接口标准：国产芯粒异构集成互联规范，填补国内空白，形成技术标准话语权。</w:t>
      </w:r>
    </w:p>
    <w:p>
      <w:pPr>
        <w:spacing w:after="80"/>
        <w:ind w:firstLine="420"/>
      </w:pPr>
      <w:r>
        <w:rPr>
          <w:rFonts w:ascii="宋体" w:hAnsi="宋体"/>
          <w:sz w:val="21"/>
        </w:rPr>
        <w:t>创新点5：首次实现三场景统一架构：同一套硬件通过SDI拓扑重构，覆盖超算HPC/智算AI推理/信号处理三大领域。</w:t>
      </w:r>
    </w:p>
    <w:p>
      <w:pPr>
        <w:pStyle w:val="Heading1"/>
        <w:spacing w:before="240" w:after="120"/>
      </w:pPr>
      <w:r>
        <w:t>六、经费预算（1500万元，3年）</w:t>
      </w:r>
    </w:p>
    <w:p>
      <w:pPr>
        <w:pStyle w:val="Heading2"/>
        <w:spacing w:before="240" w:after="120"/>
      </w:pPr>
      <w:r>
        <w:t>6.1  总预算分配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经费类别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1（万元）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2（万元）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3（万元）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合计（万元）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芯片设计（EDA+工程师）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330</w:t>
            </w:r>
          </w:p>
        </w:tc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22%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FPGA开发平台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7%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流片费用（22nm MPW）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33%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封装测试（CoWoS+测试）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人员费用（6人x3年）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260</w:t>
            </w:r>
          </w:p>
        </w:tc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17%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软件栈开发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差旅/会议/发表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85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</w:tr>
      <w:tr>
        <w:tc>
          <w:tcPr>
            <w:tcW w:type="dxa" w:w="2551"/>
            <w:shd w:fill="FFFFFF" w:val="clea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合  计</w:t>
            </w:r>
          </w:p>
        </w:tc>
        <w:tc>
          <w:tcPr>
            <w:tcW w:type="dxa" w:w="1417"/>
            <w:shd w:fill="FFFFFF" w:val="clea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360</w:t>
            </w:r>
          </w:p>
        </w:tc>
        <w:tc>
          <w:tcPr>
            <w:tcW w:type="dxa" w:w="1417"/>
            <w:shd w:fill="FFFFFF" w:val="clea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620</w:t>
            </w:r>
          </w:p>
        </w:tc>
        <w:tc>
          <w:tcPr>
            <w:tcW w:type="dxa" w:w="1417"/>
            <w:shd w:fill="FFFFFF" w:val="clea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520</w:t>
            </w:r>
          </w:p>
        </w:tc>
        <w:tc>
          <w:tcPr>
            <w:tcW w:type="dxa" w:w="1417"/>
            <w:shd w:fill="FFFFFF" w:val="clea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1500</w:t>
            </w:r>
          </w:p>
        </w:tc>
        <w:tc>
          <w:tcPr>
            <w:tcW w:type="dxa" w:w="850"/>
            <w:shd w:fill="FFFFFF" w:val="clea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100%</w:t>
            </w:r>
          </w:p>
        </w:tc>
      </w:tr>
    </w:tbl>
    <w:p/>
    <w:p>
      <w:pPr>
        <w:pStyle w:val="Heading2"/>
        <w:spacing w:before="240" w:after="120"/>
      </w:pPr>
      <w:r>
        <w:t>6.2  流片批次计划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流片内容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费用（万元）</w:t>
            </w:r>
          </w:p>
        </w:tc>
      </w:tr>
      <w:tr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MPW-1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Year 2 Q1</w:t>
            </w:r>
          </w:p>
        </w:tc>
        <w:tc>
          <w:tcPr>
            <w:tcW w:type="dxa" w:w="510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NPC-AR+NPC-RS+NPC-BC（共用reticle，3芯粒）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MPW-2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Year 2 Q2</w:t>
            </w:r>
          </w:p>
        </w:tc>
        <w:tc>
          <w:tcPr>
            <w:tcW w:type="dxa" w:w="510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NPC-AA+NPC-AG+SDI-Ctrl（3芯粒）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MPW-3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Year 2 Q4</w:t>
            </w:r>
          </w:p>
        </w:tc>
        <w:tc>
          <w:tcPr>
            <w:tcW w:type="dxa" w:w="510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NPC全套修复版+板卡验证片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MPW-4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Year 3 Q1</w:t>
            </w:r>
          </w:p>
        </w:tc>
        <w:tc>
          <w:tcPr>
            <w:tcW w:type="dxa" w:w="510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CPC-M+CPC-R（共用reticle，2芯粒）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MPW-5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Year 3 Q2</w:t>
            </w:r>
          </w:p>
        </w:tc>
        <w:tc>
          <w:tcPr>
            <w:tcW w:type="dxa" w:w="5102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CPC-S+CPC-T+集成测试片（2芯粒）</w:t>
            </w:r>
          </w:p>
        </w:tc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合  计</w:t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2"/>
            <w:shd w:fill="FFFFFF" w:val="clear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500</w:t>
            </w:r>
          </w:p>
        </w:tc>
      </w:tr>
    </w:tbl>
    <w:p/>
    <w:p>
      <w:pPr>
        <w:pStyle w:val="Heading1"/>
        <w:spacing w:before="240" w:after="120"/>
      </w:pPr>
      <w:r>
        <w:t>七、项目进度计划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90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2026 Q1</w:t>
            </w:r>
          </w:p>
        </w:tc>
        <w:tc>
          <w:tcPr>
            <w:tcW w:type="dxa" w:w="10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2026 Q2-Q3</w:t>
            </w:r>
          </w:p>
        </w:tc>
        <w:tc>
          <w:tcPr>
            <w:tcW w:type="dxa" w:w="90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2026 Q4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2027 Q1-Q2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2027 Q3-Q4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2028 Q1-Q2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2028 Q3-Q4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SDIO-N标准</w:t>
            </w:r>
          </w:p>
        </w:tc>
        <w:tc>
          <w:tcPr>
            <w:tcW w:type="dxa" w:w="90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草案完善</w:t>
            </w:r>
          </w:p>
        </w:tc>
        <w:tc>
          <w:tcPr>
            <w:tcW w:type="dxa" w:w="102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FPGA验证</w:t>
            </w:r>
          </w:p>
        </w:tc>
        <w:tc>
          <w:tcPr>
            <w:tcW w:type="dxa" w:w="90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v1.0-&gt;CCIA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UCIe对齐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NPCx5 FPGA验证</w:t>
            </w:r>
          </w:p>
        </w:tc>
        <w:tc>
          <w:tcPr>
            <w:tcW w:type="dxa" w:w="90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设计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验证</w:t>
            </w:r>
          </w:p>
        </w:tc>
        <w:tc>
          <w:tcPr>
            <w:tcW w:type="dxa" w:w="90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全部通过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NPCx5 流片</w:t>
            </w:r>
          </w:p>
        </w:tc>
        <w:tc>
          <w:tcPr>
            <w:tcW w:type="dxa" w:w="90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02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90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MPW1+MPW2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MPW3修复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CPCx4 RTL</w:t>
            </w:r>
          </w:p>
        </w:tc>
        <w:tc>
          <w:tcPr>
            <w:tcW w:type="dxa" w:w="90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设计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RTL完成</w:t>
            </w:r>
          </w:p>
        </w:tc>
        <w:tc>
          <w:tcPr>
            <w:tcW w:type="dxa" w:w="90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后端综合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PR/DRC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CPCx4 流片</w:t>
            </w:r>
          </w:p>
        </w:tc>
        <w:tc>
          <w:tcPr>
            <w:tcW w:type="dxa" w:w="90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02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90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MPW4+MPW5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回片测试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SDI-Ctrl</w:t>
            </w:r>
          </w:p>
        </w:tc>
        <w:tc>
          <w:tcPr>
            <w:tcW w:type="dxa" w:w="90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设计</w:t>
            </w:r>
          </w:p>
        </w:tc>
        <w:tc>
          <w:tcPr>
            <w:tcW w:type="dxa" w:w="90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RTL完成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流片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回片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板卡集成</w:t>
            </w:r>
          </w:p>
        </w:tc>
        <w:tc>
          <w:tcPr>
            <w:tcW w:type="dxa" w:w="90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02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90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CoWoS封装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集成测试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三场景验证</w:t>
            </w:r>
          </w:p>
        </w:tc>
        <w:tc>
          <w:tcPr>
            <w:tcW w:type="dxa" w:w="90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90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HPC初步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AI推理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信号处理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[原创]全验收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软件栈</w:t>
            </w:r>
          </w:p>
        </w:tc>
        <w:tc>
          <w:tcPr>
            <w:tcW w:type="dxa" w:w="90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PyiNEST骨架</w:t>
            </w:r>
          </w:p>
        </w:tc>
        <w:tc>
          <w:tcPr>
            <w:tcW w:type="dxa" w:w="1020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驱动开发</w:t>
            </w:r>
          </w:p>
        </w:tc>
        <w:tc>
          <w:tcPr>
            <w:tcW w:type="dxa" w:w="907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NCCL插件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优化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DSE工具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完善</w:t>
            </w:r>
          </w:p>
        </w:tc>
        <w:tc>
          <w:tcPr>
            <w:tcW w:type="dxa" w:w="1134"/>
            <w:shd w:fill="DEEAF1" w:val="clear"/>
          </w:tcPr>
          <w:p>
            <w:pPr>
              <w:jc w:val="center"/>
            </w:pPr>
            <w:r>
              <w:rPr>
                <w:sz w:val="18"/>
              </w:rPr>
              <w:t>开源发布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论文/专利</w:t>
            </w:r>
          </w:p>
        </w:tc>
        <w:tc>
          <w:tcPr>
            <w:tcW w:type="dxa" w:w="90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专利≥3项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907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论文投DAC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专利授权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论文投TIT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专利授权</w:t>
            </w:r>
          </w:p>
        </w:tc>
        <w:tc>
          <w:tcPr>
            <w:tcW w:type="dxa" w:w="1134"/>
            <w:shd w:fill="FFFFFF" w:val="clear"/>
          </w:tcPr>
          <w:p>
            <w:pPr>
              <w:jc w:val="center"/>
            </w:pPr>
            <w:r>
              <w:rPr>
                <w:sz w:val="18"/>
              </w:rPr>
              <w:t>论文投SC</w:t>
            </w:r>
          </w:p>
        </w:tc>
      </w:tr>
    </w:tbl>
    <w:p/>
    <w:p>
      <w:pPr>
        <w:pStyle w:val="Heading1"/>
        <w:spacing w:before="240" w:after="120"/>
      </w:pPr>
      <w:r>
        <w:t>八、预期效益</w:t>
      </w:r>
    </w:p>
    <w:p>
      <w:pPr>
        <w:pStyle w:val="Heading2"/>
        <w:spacing w:before="240" w:after="120"/>
      </w:pPr>
      <w:r>
        <w:t>8.1  科学价值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建立&lt;&lt;物理拓扑即计算&gt;&gt;的严格理论框架，为CST网络时空协同复杂度理论提供工程验证，推动NCC范式进入主流学术视野。证明FFT-AllReduce同构定理的工程意义，为信号处理与AI训练统一硬件平台奠定理论基础。预计发表顶级论文6篇以上（SC/ISSCC/IEEE TPDS/Nature Electronics）。</w:t>
      </w:r>
    </w:p>
    <w:p>
      <w:pPr>
        <w:pStyle w:val="Heading2"/>
        <w:spacing w:before="240" w:after="120"/>
      </w:pPr>
      <w:r>
        <w:t>8.2  技术价值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形成国内首套覆盖全栈的集合通信硬件IP体系（9颗原语芯粒），可授权给国内AI芯片企业使用。制定SDIO-N国产芯粒互联标准，打破NVIDIA互连生态垄断的底层技术壁垒，争夺Chiplet互联接口话语权。为后续晶圆级集成（SDSoW）和类脑计算（SDI化合键）提供工程验证与技术积累。</w:t>
      </w:r>
    </w:p>
    <w:p>
      <w:pPr>
        <w:pStyle w:val="Heading2"/>
        <w:spacing w:before="240" w:after="120"/>
      </w:pPr>
      <w:r>
        <w:t>8.3  产业价值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直接输出产品原型：RT-Infer-30边缘推理卡（定位L4自动驾驶、工业质检市场，目标功耗&lt;30W、延迟确定性&lt;1ms，竞争NVIDIA L4的niche市场）。技术许可预期收入（项目结束3年后）≥2000万元（SDIO-N标准IP授权+原语芯粒IP授权）。带动产业链：封装（长电/通富）、代工（中芯国际）、系统集成（华为昇腾生态）。</w:t>
      </w:r>
    </w:p>
    <w:p>
      <w:pPr>
        <w:pStyle w:val="Heading2"/>
        <w:spacing w:before="240" w:after="120"/>
      </w:pPr>
      <w:r>
        <w:t>8.4  人才培养</w:t>
      </w:r>
    </w:p>
    <w:p>
      <w:pPr>
        <w:spacing w:after="120"/>
        <w:ind w:firstLine="420"/>
      </w:pPr>
      <w:r>
        <w:rPr>
          <w:rFonts w:ascii="宋体" w:hAnsi="宋体"/>
          <w:b w:val="0"/>
          <w:sz w:val="21"/>
        </w:rPr>
        <w:t>培养博士研究生6名（集成电路设计方向3名、计算机体系结构方向3名）；培养硕士研究生10名；与华为、中芯国际联合培养工程师4名；形成国内在集合通信硬件领域的核心技术团队。</w:t>
      </w:r>
    </w:p>
    <w:p>
      <w:r>
        <w:br w:type="page"/>
      </w:r>
    </w:p>
    <w:p/>
    <w:p>
      <w:pPr>
        <w:spacing w:after="400"/>
        <w:jc w:val="right"/>
      </w:pPr>
      <w:r>
        <w:rPr>
          <w:rFonts w:ascii="宋体" w:hAnsi="宋体"/>
          <w:sz w:val="24"/>
        </w:rPr>
        <w:t>项目负责人签字：刘勤让</w:t>
      </w:r>
    </w:p>
    <w:p>
      <w:pPr>
        <w:spacing w:after="400"/>
        <w:jc w:val="right"/>
      </w:pPr>
      <w:r>
        <w:rPr>
          <w:rFonts w:ascii="宋体" w:hAnsi="宋体"/>
          <w:sz w:val="24"/>
        </w:rPr>
        <w:t>申报单位公章：天津大学微电子学院</w:t>
      </w:r>
    </w:p>
    <w:p>
      <w:pPr>
        <w:spacing w:after="400"/>
        <w:jc w:val="right"/>
      </w:pPr>
      <w:r>
        <w:rPr>
          <w:rFonts w:ascii="宋体" w:hAnsi="宋体"/>
          <w:sz w:val="24"/>
        </w:rPr>
        <w:t>申报日期：2026年4月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