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1C9A">
      <w:pPr>
        <w:spacing w:before="93" w:beforeLines="30" w:line="500" w:lineRule="exact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bookmarkStart w:id="0" w:name="OLE_LINK13"/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任务方向1：新器件共性技术</w:t>
      </w:r>
    </w:p>
    <w:p w14:paraId="2DA9D2C0">
      <w:pPr>
        <w:spacing w:before="93" w:beforeLines="30" w:line="500" w:lineRule="exact"/>
        <w:ind w:firstLine="524" w:firstLineChars="200"/>
        <w:rPr>
          <w:rFonts w:ascii="仿宋_GB2312" w:hAnsi="Times New Roman" w:eastAsia="仿宋_GB2312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spacing w:val="-9"/>
          <w:sz w:val="28"/>
          <w:szCs w:val="28"/>
        </w:rPr>
        <w:t>面向高性能计算芯片、存储芯片、模拟芯片的应用需求，针对集成密度、访存能效、感知精度的问题，开展先进逻辑新器件、先进存储新器件、先进模拟新器件等三个层面的新器件共性技术任务布局。在先进逻辑新器件层面，研究三维垂直晶体管、新型沟道晶体管、二维半导体、存内计算、三维集成关键材料等新器件共性技术，实现3纳米以下器件技术的原始创新，支撑下一代高性能计算芯片研制。在先进存储新器件层面，研究超大容量三维新型非易失存储器、超高速嵌入式非易失存储器、超高带宽闪存器件等新型</w:t>
      </w:r>
      <w:bookmarkStart w:id="3" w:name="_GoBack"/>
      <w:bookmarkEnd w:id="3"/>
      <w:r>
        <w:rPr>
          <w:rFonts w:hint="eastAsia" w:ascii="仿宋_GB2312" w:hAnsi="Times New Roman" w:eastAsia="仿宋_GB2312"/>
          <w:spacing w:val="-9"/>
          <w:sz w:val="28"/>
          <w:szCs w:val="28"/>
        </w:rPr>
        <w:t>存储器件、以及新型存内计算器件等共性技术，全面支撑下一代高性能数据访存以及端侧计算新技术的发展。在先进模拟新器件层面，研究神经形态</w:t>
      </w:r>
      <w:bookmarkStart w:id="1" w:name="OLE_LINK20"/>
      <w:r>
        <w:rPr>
          <w:rFonts w:hint="eastAsia" w:ascii="仿宋_GB2312" w:hAnsi="Times New Roman" w:eastAsia="仿宋_GB2312"/>
          <w:spacing w:val="-9"/>
          <w:sz w:val="28"/>
          <w:szCs w:val="28"/>
        </w:rPr>
        <w:t>类脑感知</w:t>
      </w:r>
      <w:bookmarkEnd w:id="1"/>
      <w:r>
        <w:rPr>
          <w:rFonts w:hint="eastAsia" w:ascii="仿宋_GB2312" w:hAnsi="Times New Roman" w:eastAsia="仿宋_GB2312"/>
          <w:spacing w:val="-9"/>
          <w:sz w:val="28"/>
          <w:szCs w:val="28"/>
        </w:rPr>
        <w:t>与集成化柔性智能感知器件等共性技术，支撑新一代高性能模拟芯片的性能提升与关键技术突破。本任务方向预期将先进逻辑器件的集成密度提升1倍，性能提升50%，将新型存储器件的存储密度提升2倍，访问时间降低2倍，单比特计算能效提升2倍，算力密度提升2倍，将模拟器件的帧频提升1个数量级，能耗降低2~3倍，动态范围提升2倍以上。通过新器件共性技术的突破，为推动高性能计算、大容量存储以及高灵敏感知芯片应用技术的发展，奠定关键自主可控技术基础。</w:t>
      </w:r>
    </w:p>
    <w:bookmarkEnd w:id="0"/>
    <w:p w14:paraId="41F00052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 xml:space="preserve">任务1.1 </w:t>
      </w:r>
      <w:bookmarkStart w:id="2" w:name="OLE_LINK9"/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高性能集成垂直晶体管先导技术</w:t>
      </w:r>
      <w:bookmarkEnd w:id="2"/>
    </w:p>
    <w:p w14:paraId="3818D2C9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研究内容</w:t>
      </w:r>
    </w:p>
    <w:p w14:paraId="08C30D40">
      <w:pPr>
        <w:spacing w:before="93" w:beforeLines="30" w:line="500" w:lineRule="exact"/>
        <w:ind w:firstLine="526" w:firstLineChars="200"/>
        <w:rPr>
          <w:rFonts w:ascii="仿宋_GB2312" w:hAnsi="Times New Roman" w:eastAsia="仿宋_GB2312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预期成果</w:t>
      </w:r>
    </w:p>
    <w:p w14:paraId="3D5864E7">
      <w:pPr>
        <w:adjustRightInd w:val="0"/>
        <w:snapToGrid w:val="0"/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任务1.2 基于新型沟道材料的逻辑器件先导技术</w:t>
      </w:r>
    </w:p>
    <w:p w14:paraId="4C90BC1C">
      <w:pPr>
        <w:adjustRightInd w:val="0"/>
        <w:snapToGrid w:val="0"/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任务1.3 二维半导体新器件</w:t>
      </w:r>
    </w:p>
    <w:p w14:paraId="605939B0">
      <w:pPr>
        <w:adjustRightInd w:val="0"/>
        <w:snapToGrid w:val="0"/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任务1.4 新型存储器件</w:t>
      </w:r>
    </w:p>
    <w:p w14:paraId="48F33575">
      <w:pPr>
        <w:adjustRightInd w:val="0"/>
        <w:snapToGrid w:val="0"/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任务1.5 新型存内计算器件</w:t>
      </w:r>
    </w:p>
    <w:p w14:paraId="13CEB875">
      <w:pPr>
        <w:adjustRightInd w:val="0"/>
        <w:snapToGrid w:val="0"/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任务1.6 神经形态与集成化柔性智能器件</w:t>
      </w:r>
    </w:p>
    <w:p w14:paraId="01FDD9C6">
      <w:pPr>
        <w:adjustRightInd w:val="0"/>
        <w:snapToGrid w:val="0"/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任务1.7 三维集成关键材料的国产化和性能提升</w:t>
      </w:r>
    </w:p>
    <w:p w14:paraId="5A5ED856">
      <w:pPr>
        <w:spacing w:before="93" w:beforeLines="30" w:line="500" w:lineRule="exact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任务方向2：新架构共性技术</w:t>
      </w:r>
    </w:p>
    <w:p w14:paraId="294D614C">
      <w:pPr>
        <w:spacing w:before="93" w:beforeLines="30" w:line="500" w:lineRule="exact"/>
        <w:ind w:firstLine="524" w:firstLineChars="200"/>
        <w:rPr>
          <w:rFonts w:hint="eastAsia" w:ascii="仿宋_GB2312" w:hAnsi="Times New Roman" w:eastAsia="仿宋_GB2312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spacing w:val="-9"/>
          <w:sz w:val="28"/>
          <w:szCs w:val="28"/>
        </w:rPr>
        <w:t>面向AI大模型训练、智能感知与认知、推理与学习等任务中计算、存储与传输等核心应用需求，针对传统架构存在的“存储墙”“面积墙”“算力瓶颈”“安全与性能失衡”“模拟精度不足”等关键问题，开展先进计算新架构、先进存储新架构、先进模拟新架构等三个层面的新架构共性技术布局。在先进计算新架构层面，研究夸存储层级存算一体、低温硅基计算、三维近存计算、晶圆级异构集成、大规模类脑计算、开源扩展AI算力、安全可信计算等新架构共性技术，支撑算力和能效水平的突破。在先进存储新架构层面，解决数据搬运能耗过高、存储访问延迟过大等瓶颈，实现存储-计算深度融合的性能跃升。在先进模拟新架构层面，研究智能化功率集成新架构、智能化信息感知新架构等新架构共性技术，支撑突破复杂场景模拟精度与效率的平衡难题。本任务方向预期将计算能效比提升50%以上，将带宽和存储容量提升1个量级，将电池监测转换时间提升1个数量级。</w:t>
      </w:r>
    </w:p>
    <w:p w14:paraId="56B1CFB4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任务2.1 跨存储层级的存算一体新架构</w:t>
      </w:r>
    </w:p>
    <w:p w14:paraId="672AE47B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任务2.2 低温硅基计算新架构</w:t>
      </w:r>
    </w:p>
    <w:p w14:paraId="296E5C87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任务2.3 基于三维堆叠的近存计算新架构</w:t>
      </w:r>
    </w:p>
    <w:p w14:paraId="006B50C2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任务2.4 晶圆级异构融合集成新架构</w:t>
      </w:r>
    </w:p>
    <w:p w14:paraId="6EA64AC4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任务2.5 大规模类脑计算新架构</w:t>
      </w:r>
    </w:p>
    <w:p w14:paraId="2EC9A60A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任务2.6 开源处理器扩展AI算力的新架构</w:t>
      </w:r>
    </w:p>
    <w:p w14:paraId="55A53229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任务2.7 高安全可信计算新架构</w:t>
      </w:r>
    </w:p>
    <w:p w14:paraId="1445F999">
      <w:pPr>
        <w:spacing w:before="93" w:beforeLines="30" w:line="500" w:lineRule="exact"/>
        <w:ind w:firstLine="526" w:firstLineChars="200"/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color w:val="000000"/>
          <w:spacing w:val="-9"/>
          <w:sz w:val="28"/>
          <w:szCs w:val="28"/>
        </w:rPr>
        <w:t>任务2.8 面向下一代存储的新架构</w:t>
      </w:r>
    </w:p>
    <w:p w14:paraId="6FD85603">
      <w:pPr>
        <w:spacing w:before="93" w:beforeLines="30" w:line="500" w:lineRule="exact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任务2.9 智能化功率集成新架构</w:t>
      </w:r>
    </w:p>
    <w:p w14:paraId="2ADCAEBA">
      <w:pPr>
        <w:spacing w:before="93" w:beforeLines="30" w:line="500" w:lineRule="exact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任务2.10 智能化信息感知新架构</w:t>
      </w:r>
    </w:p>
    <w:p w14:paraId="4AE8DA27">
      <w:pPr>
        <w:spacing w:before="93" w:beforeLines="30" w:line="500" w:lineRule="exact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任务方向3：新工艺共性技术</w:t>
      </w:r>
    </w:p>
    <w:p w14:paraId="5F4CAC7F">
      <w:pPr>
        <w:spacing w:before="93" w:beforeLines="30" w:line="500" w:lineRule="exact"/>
        <w:ind w:firstLine="524" w:firstLineChars="200"/>
        <w:rPr>
          <w:rFonts w:hint="eastAsia" w:ascii="仿宋_GB2312" w:hAnsi="Times New Roman" w:eastAsia="仿宋_GB2312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spacing w:val="-9"/>
          <w:sz w:val="28"/>
          <w:szCs w:val="28"/>
        </w:rPr>
        <w:t>面向物联网、5G/6G通信、可穿戴装备、商业航天、汽车电子等领域的应用需求，摆脱路径依赖的被动现状，开展平面微缩新工艺、立体集成新工艺、AI赋能新工艺等三个层面的新工艺共性技术布局。在平面微缩新工艺层面，研究FDSOI特色集成工艺、新原理电子束图形化、高选择比刻蚀、以及超浸润图形化等新工艺共性技术，突破EUV受限的局面，实现等效7纳米及以下的技术自主可控。在立体集成新工艺层面，研究高密度大尺寸三维异构集成、三维集成高密度键合等新工艺共性技术，支撑超大集成尺寸、超高数据带宽和超强散热能力的新一代算力型芯片的自主可控研制。在AI赋能新工艺层面，研究三维集成高精度量测、AI赋能的仪器设备等新工艺共性技术，全面提升生产效率、精度和稳定性。通过本任务的研究，支撑实现7纳米及以下节点关键装备的技术突破和自主可控。</w:t>
      </w:r>
    </w:p>
    <w:p w14:paraId="21BCED38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 xml:space="preserve">任务3.1 </w:t>
      </w:r>
      <w:r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  <w:t>FDSOI</w:t>
      </w: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特色集成工艺</w:t>
      </w:r>
    </w:p>
    <w:p w14:paraId="0B2961C2">
      <w:pPr>
        <w:spacing w:before="93" w:beforeLines="30" w:line="500" w:lineRule="exact"/>
        <w:ind w:firstLine="526" w:firstLineChars="200"/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 xml:space="preserve">任务3.2 </w:t>
      </w:r>
      <w:r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  <w:t>无透镜磁约束大视场电子束投影图形转移关键技术</w:t>
      </w:r>
    </w:p>
    <w:p w14:paraId="05F631E6">
      <w:pPr>
        <w:spacing w:before="93" w:beforeLines="30" w:line="500" w:lineRule="exact"/>
        <w:ind w:firstLine="526" w:firstLineChars="200"/>
        <w:rPr>
          <w:rFonts w:ascii="仿宋" w:hAnsi="仿宋" w:eastAsia="仿宋"/>
          <w:b/>
          <w:sz w:val="24"/>
          <w:szCs w:val="28"/>
        </w:rPr>
      </w:pP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任务3.3 高选择比刻蚀装备关键技术</w:t>
      </w:r>
    </w:p>
    <w:p w14:paraId="1500806B">
      <w:pPr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任务3</w:t>
      </w:r>
      <w:r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  <w:t>.</w:t>
      </w: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4</w:t>
      </w:r>
      <w:r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超浸润材料图形创制技术</w:t>
      </w:r>
    </w:p>
    <w:p w14:paraId="45E0362B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任务3.5 大尺寸三维异构集成关键工艺</w:t>
      </w:r>
    </w:p>
    <w:p w14:paraId="2A9CFDE6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任务3</w:t>
      </w:r>
      <w:r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  <w:t>.</w:t>
      </w: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6</w:t>
      </w:r>
      <w:r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>面向三维集成芯片的高密度互连关键工艺</w:t>
      </w:r>
    </w:p>
    <w:p w14:paraId="5EB45C86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任务3</w:t>
      </w: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>.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7</w:t>
      </w: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 xml:space="preserve"> 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面向三维集成的</w:t>
      </w:r>
      <w:r>
        <w:rPr>
          <w:rFonts w:hint="eastAsia" w:ascii="Times New Roman" w:hAnsi="Times New Roman" w:eastAsia="仿宋_GB2312"/>
          <w:b/>
          <w:spacing w:val="-9"/>
          <w:sz w:val="28"/>
          <w:szCs w:val="28"/>
        </w:rPr>
        <w:t>高精度套刻量测装备</w:t>
      </w:r>
    </w:p>
    <w:p w14:paraId="64D7CCFF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任务3</w:t>
      </w: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>.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8 AI赋能的仪器设备技术</w:t>
      </w:r>
    </w:p>
    <w:p w14:paraId="2A5586F0">
      <w:pPr>
        <w:spacing w:before="93" w:beforeLines="30" w:line="500" w:lineRule="exact"/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b/>
          <w:bCs/>
          <w:spacing w:val="-9"/>
          <w:sz w:val="28"/>
          <w:szCs w:val="28"/>
        </w:rPr>
        <w:t>任务方向4：新工具共性技术</w:t>
      </w:r>
    </w:p>
    <w:p w14:paraId="7202874C">
      <w:pPr>
        <w:spacing w:before="93" w:beforeLines="30" w:line="500" w:lineRule="exact"/>
        <w:ind w:firstLine="524" w:firstLineChars="200"/>
        <w:rPr>
          <w:rFonts w:ascii="仿宋_GB2312" w:hAnsi="Times New Roman" w:eastAsia="仿宋_GB2312"/>
          <w:spacing w:val="-9"/>
          <w:sz w:val="28"/>
          <w:szCs w:val="28"/>
        </w:rPr>
      </w:pPr>
      <w:r>
        <w:rPr>
          <w:rFonts w:hint="eastAsia" w:ascii="仿宋_GB2312" w:hAnsi="Times New Roman" w:eastAsia="仿宋_GB2312"/>
          <w:spacing w:val="-9"/>
          <w:sz w:val="28"/>
          <w:szCs w:val="28"/>
        </w:rPr>
        <w:t>面向先进计算和存储等高端芯片设计，针对复杂度瓶颈问题，开展</w:t>
      </w:r>
      <w:r>
        <w:rPr>
          <w:rFonts w:ascii="仿宋_GB2312" w:hAnsi="Times New Roman" w:eastAsia="仿宋_GB2312"/>
          <w:spacing w:val="-9"/>
          <w:sz w:val="28"/>
          <w:szCs w:val="28"/>
        </w:rPr>
        <w:t>AI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赋能新工具和跨层协同新工具等两个层面的新工具共性技术布局。在</w:t>
      </w:r>
      <w:r>
        <w:rPr>
          <w:rFonts w:ascii="仿宋_GB2312" w:hAnsi="Times New Roman" w:eastAsia="仿宋_GB2312"/>
          <w:spacing w:val="-9"/>
          <w:sz w:val="28"/>
          <w:szCs w:val="28"/>
        </w:rPr>
        <w:t>AI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赋能新工具层面，研究复杂逻辑电路自动验证、模拟电路自动化设计、集成电路制造数字孪生技术等新工具共性技术，支撑集成电路设计产业创新节奏大幅提升，解决集成电路新工艺开发周期长问题。在跨层次协同新工具层面，研究工艺</w:t>
      </w:r>
      <w:r>
        <w:rPr>
          <w:rFonts w:ascii="仿宋_GB2312" w:hAnsi="Times New Roman" w:eastAsia="仿宋_GB2312"/>
          <w:spacing w:val="-9"/>
          <w:sz w:val="28"/>
          <w:szCs w:val="28"/>
        </w:rPr>
        <w:t>-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单元协同和设计</w:t>
      </w:r>
      <w:r>
        <w:rPr>
          <w:rFonts w:ascii="仿宋_GB2312" w:hAnsi="Times New Roman" w:eastAsia="仿宋_GB2312"/>
          <w:spacing w:val="-9"/>
          <w:sz w:val="28"/>
          <w:szCs w:val="28"/>
        </w:rPr>
        <w:t>-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系统协同方法、新一代计算芯片高效的软硬件协同设计工具链等新工具共性技术，支撑算力芯片在同等工艺条件性能功耗和成本</w:t>
      </w:r>
      <w:r>
        <w:rPr>
          <w:rFonts w:ascii="仿宋_GB2312" w:hAnsi="Times New Roman" w:eastAsia="仿宋_GB2312"/>
          <w:spacing w:val="-9"/>
          <w:sz w:val="28"/>
          <w:szCs w:val="28"/>
        </w:rPr>
        <w:t>PPA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大幅提升，显著提升计算芯片设计的整体性能与效率。本任务方向预期提升集成电路设计效率</w:t>
      </w:r>
      <w:r>
        <w:rPr>
          <w:rFonts w:ascii="仿宋_GB2312" w:hAnsi="Times New Roman" w:eastAsia="仿宋_GB2312"/>
          <w:spacing w:val="-9"/>
          <w:sz w:val="28"/>
          <w:szCs w:val="28"/>
        </w:rPr>
        <w:t>50%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以上，新工艺开发周期降低</w:t>
      </w:r>
      <w:r>
        <w:rPr>
          <w:rFonts w:ascii="仿宋_GB2312" w:hAnsi="Times New Roman" w:eastAsia="仿宋_GB2312"/>
          <w:spacing w:val="-9"/>
          <w:sz w:val="28"/>
          <w:szCs w:val="28"/>
        </w:rPr>
        <w:t>50%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，算力芯片在同等工艺条件下</w:t>
      </w:r>
      <w:r>
        <w:rPr>
          <w:rFonts w:ascii="仿宋_GB2312" w:hAnsi="Times New Roman" w:eastAsia="仿宋_GB2312"/>
          <w:spacing w:val="-9"/>
          <w:sz w:val="28"/>
          <w:szCs w:val="28"/>
        </w:rPr>
        <w:t>PPA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提升</w:t>
      </w:r>
      <w:r>
        <w:rPr>
          <w:rFonts w:ascii="仿宋_GB2312" w:hAnsi="Times New Roman" w:eastAsia="仿宋_GB2312"/>
          <w:spacing w:val="-9"/>
          <w:sz w:val="28"/>
          <w:szCs w:val="28"/>
        </w:rPr>
        <w:t>15%</w:t>
      </w:r>
      <w:r>
        <w:rPr>
          <w:rFonts w:hint="eastAsia" w:ascii="仿宋_GB2312" w:hAnsi="Times New Roman" w:eastAsia="仿宋_GB2312"/>
          <w:spacing w:val="-9"/>
          <w:sz w:val="28"/>
          <w:szCs w:val="28"/>
        </w:rPr>
        <w:t>。</w:t>
      </w:r>
    </w:p>
    <w:p w14:paraId="4F7402E2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任务</w:t>
      </w: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 xml:space="preserve">4.1 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面向集成电路的智能设计新工具</w:t>
      </w:r>
    </w:p>
    <w:p w14:paraId="13DCC2D2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任务</w:t>
      </w: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 xml:space="preserve">4.2 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面向集成电路的智能制造新工具</w:t>
      </w:r>
    </w:p>
    <w:p w14:paraId="34E45F83">
      <w:pPr>
        <w:adjustRightInd w:val="0"/>
        <w:snapToGrid w:val="0"/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任务</w:t>
      </w: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 xml:space="preserve">4.3 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面向算力芯片的跨层级协同设计新工具</w:t>
      </w:r>
    </w:p>
    <w:p w14:paraId="7549BE0B">
      <w:pPr>
        <w:spacing w:before="93" w:beforeLines="30" w:line="500" w:lineRule="exact"/>
        <w:ind w:firstLine="526" w:firstLineChars="200"/>
        <w:rPr>
          <w:rFonts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任务</w:t>
      </w: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 xml:space="preserve">4.4 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面向开源硬件的软硬件协同设计新工具</w:t>
      </w:r>
    </w:p>
    <w:p w14:paraId="16D540E6">
      <w:pPr>
        <w:adjustRightInd w:val="0"/>
        <w:spacing w:line="560" w:lineRule="exact"/>
        <w:outlineLvl w:val="0"/>
        <w:rPr>
          <w:rFonts w:ascii="Times New Roman" w:hAnsi="Times New Roman" w:eastAsia="黑体"/>
          <w:bCs/>
          <w:spacing w:val="-9"/>
          <w:sz w:val="32"/>
          <w:szCs w:val="36"/>
        </w:rPr>
      </w:pPr>
      <w:r>
        <w:rPr>
          <w:rFonts w:hint="eastAsia" w:ascii="Times New Roman" w:hAnsi="Times New Roman" w:eastAsia="黑体"/>
          <w:bCs/>
          <w:spacing w:val="-9"/>
          <w:sz w:val="32"/>
          <w:szCs w:val="36"/>
        </w:rPr>
        <w:t>七</w:t>
      </w:r>
      <w:r>
        <w:rPr>
          <w:rFonts w:ascii="Times New Roman" w:hAnsi="Times New Roman" w:eastAsia="黑体"/>
          <w:bCs/>
          <w:spacing w:val="-9"/>
          <w:sz w:val="32"/>
          <w:szCs w:val="36"/>
        </w:rPr>
        <w:t>、组织实施方式与保障措施</w:t>
      </w:r>
    </w:p>
    <w:p w14:paraId="4A70691A">
      <w:pPr>
        <w:adjustRightInd w:val="0"/>
        <w:snapToGrid w:val="0"/>
        <w:spacing w:before="93" w:beforeLines="30" w:line="500" w:lineRule="exact"/>
        <w:ind w:firstLine="524" w:firstLineChars="200"/>
        <w:jc w:val="left"/>
        <w:rPr>
          <w:rFonts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围绕我国微纳电子技术自主创新、自主可控和产业体系建设，深入贯彻落实习近平总书记关于“从源头和底层解决关键技术问题”的重要指示及二十届三中全会精神，按照《国家重点研发计划管理暂行办法》要求，聚焦算力、带宽、能效、设计效率、集成度等五大瓶颈，以新器件、新架构、新工艺、新工具攻关为主线，扎实做好专项实施与管理，为抢占技术制高点、提升产业链韧性与核心竞争力提供坚实保障。</w:t>
      </w:r>
    </w:p>
    <w:p w14:paraId="7B90C6CF">
      <w:pPr>
        <w:adjustRightInd w:val="0"/>
        <w:spacing w:line="560" w:lineRule="exact"/>
        <w:ind w:firstLine="567"/>
        <w:rPr>
          <w:rFonts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>（一）组织实施机制</w:t>
      </w:r>
    </w:p>
    <w:p w14:paraId="3C560702">
      <w:pPr>
        <w:adjustRightInd w:val="0"/>
        <w:spacing w:line="560" w:lineRule="exact"/>
        <w:ind w:firstLine="526" w:firstLineChars="200"/>
        <w:rPr>
          <w:rFonts w:ascii="Times New Roman" w:hAnsi="Times New Roman" w:eastAsia="仿宋_GB2312"/>
          <w:spacing w:val="-9"/>
          <w:sz w:val="28"/>
          <w:szCs w:val="28"/>
        </w:rPr>
      </w:pP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>1.专项的统筹协调机制和责任分工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 xml:space="preserve"> 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（明确主责部门与其他</w:t>
      </w:r>
      <w:r>
        <w:rPr>
          <w:rFonts w:ascii="Times New Roman" w:hAnsi="Times New Roman" w:eastAsia="仿宋_GB2312"/>
          <w:spacing w:val="-9"/>
          <w:sz w:val="28"/>
          <w:szCs w:val="28"/>
        </w:rPr>
        <w:t>部门间统筹协调和责任分工，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专业机构、</w:t>
      </w:r>
      <w:r>
        <w:rPr>
          <w:rFonts w:ascii="Times New Roman" w:hAnsi="Times New Roman" w:eastAsia="仿宋_GB2312"/>
          <w:color w:val="000000"/>
          <w:spacing w:val="-9"/>
          <w:sz w:val="28"/>
          <w:szCs w:val="28"/>
        </w:rPr>
        <w:t>部省联动、军民融合等联合组织实施机制</w:t>
      </w:r>
      <w:r>
        <w:rPr>
          <w:rFonts w:ascii="Times New Roman" w:hAnsi="Times New Roman" w:eastAsia="仿宋_GB2312"/>
          <w:spacing w:val="-9"/>
          <w:sz w:val="28"/>
          <w:szCs w:val="28"/>
        </w:rPr>
        <w:t>等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。）</w:t>
      </w:r>
    </w:p>
    <w:p w14:paraId="10DC6E8E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本专项由工业和信息化部作为主责部门，联合国家发展和改革委员会、科学技术部、教育部、中国科学院以及相关地方政府，共同建立专项实施协调机制。</w:t>
      </w:r>
    </w:p>
    <w:p w14:paraId="27B998E5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主责部门职责：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工业和信息化部负责专项的总体布局、动议凝练与动态优化，统筹指导实施方案编制，深度参与任务分解、指南编制、项目安排与组织实施，并对关键节点进行考核、监督评估及总体验收。工信部将充分发挥其在推动产业创新、促进两化深度融合、构建现代化产业体系等方面的职能优势，将专项成果与“卡脖子”技术攻关、重大技术装备推广应用、产业链强链补链等重点工作紧密结合，确保专项成果快速转化为现实生产力。</w:t>
      </w:r>
    </w:p>
    <w:p w14:paraId="08416D61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部门协同机制：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建立多部门常态化会商制度，协同推进政策、资金与资源的统筹配置。在发改委相关机制下，重点协调解决专项实施过程中遇到的重大产业政策、基础设施建设、技术标准制定及应用示范推广等跨部门难题，形成上下联动、左右协同的工作格局。</w:t>
      </w:r>
    </w:p>
    <w:p w14:paraId="666AAB96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专业机构管理：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综合考虑项目管理能力、人员队伍、工作延续性及专业技术领域特点，建议由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国家自然科学基金委高技术研究发展中心</w:t>
      </w:r>
      <w:r>
        <w:rPr>
          <w:rFonts w:ascii="Times New Roman" w:hAnsi="Times New Roman" w:eastAsia="仿宋_GB2312"/>
          <w:spacing w:val="-9"/>
          <w:sz w:val="28"/>
          <w:szCs w:val="28"/>
        </w:rPr>
        <w:t>（以下简称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“</w:t>
      </w:r>
      <w:r>
        <w:rPr>
          <w:rFonts w:ascii="Times New Roman" w:hAnsi="Times New Roman" w:eastAsia="仿宋_GB2312"/>
          <w:spacing w:val="-9"/>
          <w:sz w:val="28"/>
          <w:szCs w:val="28"/>
        </w:rPr>
        <w:t>专业机构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”</w:t>
      </w:r>
      <w:r>
        <w:rPr>
          <w:rFonts w:ascii="Times New Roman" w:hAnsi="Times New Roman" w:eastAsia="仿宋_GB2312"/>
          <w:spacing w:val="-9"/>
          <w:sz w:val="28"/>
          <w:szCs w:val="28"/>
        </w:rPr>
        <w:t>）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作为本专项的专业管理机构。专业机构负责项目申报受理、评审、立项、过程管理和结题验收等具体工作，并对项目实施的进度、质量和效果负责，定期向主责部门报告专项执行情况。</w:t>
      </w:r>
    </w:p>
    <w:p w14:paraId="5FD7CB7F">
      <w:pPr>
        <w:adjustRightInd w:val="0"/>
        <w:spacing w:line="560" w:lineRule="exact"/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ascii="Times New Roman" w:hAnsi="Times New Roman" w:eastAsia="仿宋_GB2312"/>
          <w:b/>
          <w:bCs/>
          <w:color w:val="000000"/>
          <w:spacing w:val="-9"/>
          <w:sz w:val="28"/>
          <w:szCs w:val="28"/>
        </w:rPr>
        <w:t>2.专项组织实施机制</w:t>
      </w: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eastAsia" w:ascii="Times New Roman" w:hAnsi="Times New Roman" w:eastAsia="仿宋_GB2312"/>
          <w:color w:val="000000"/>
          <w:spacing w:val="-9"/>
          <w:sz w:val="28"/>
          <w:szCs w:val="28"/>
        </w:rPr>
        <w:t>（</w:t>
      </w:r>
      <w:r>
        <w:rPr>
          <w:rFonts w:ascii="Times New Roman" w:hAnsi="Times New Roman" w:eastAsia="仿宋_GB2312"/>
          <w:color w:val="000000"/>
          <w:spacing w:val="-9"/>
          <w:sz w:val="28"/>
          <w:szCs w:val="28"/>
        </w:rPr>
        <w:t>说明拟采取部门、地方、业主单位等何种负责制？</w:t>
      </w:r>
      <w:r>
        <w:rPr>
          <w:rFonts w:ascii="Times New Roman" w:hAnsi="Times New Roman" w:eastAsia="仿宋_GB2312"/>
          <w:spacing w:val="-9"/>
          <w:sz w:val="28"/>
          <w:szCs w:val="28"/>
        </w:rPr>
        <w:t>说明拟采用的</w:t>
      </w:r>
      <w:r>
        <w:rPr>
          <w:rFonts w:hint="eastAsia" w:ascii="Times New Roman" w:hAnsi="Times New Roman" w:eastAsia="仿宋_GB2312"/>
          <w:color w:val="000000"/>
          <w:spacing w:val="-9"/>
          <w:sz w:val="28"/>
          <w:szCs w:val="28"/>
        </w:rPr>
        <w:t>“</w:t>
      </w:r>
      <w:r>
        <w:rPr>
          <w:rFonts w:ascii="Times New Roman" w:hAnsi="Times New Roman" w:eastAsia="仿宋_GB2312"/>
          <w:color w:val="000000"/>
          <w:spacing w:val="-9"/>
          <w:sz w:val="28"/>
          <w:szCs w:val="28"/>
        </w:rPr>
        <w:t>揭榜挂帅</w:t>
      </w:r>
      <w:r>
        <w:rPr>
          <w:rFonts w:hint="eastAsia" w:ascii="Times New Roman" w:hAnsi="Times New Roman" w:eastAsia="仿宋_GB2312"/>
          <w:color w:val="000000"/>
          <w:spacing w:val="-9"/>
          <w:sz w:val="28"/>
          <w:szCs w:val="28"/>
        </w:rPr>
        <w:t>”</w:t>
      </w:r>
      <w:r>
        <w:rPr>
          <w:rFonts w:ascii="Times New Roman" w:hAnsi="Times New Roman" w:eastAsia="仿宋_GB2312"/>
          <w:color w:val="000000"/>
          <w:spacing w:val="-9"/>
          <w:sz w:val="28"/>
          <w:szCs w:val="28"/>
        </w:rPr>
        <w:t>等</w:t>
      </w:r>
      <w:r>
        <w:rPr>
          <w:rFonts w:ascii="Times New Roman" w:hAnsi="Times New Roman" w:eastAsia="仿宋_GB2312"/>
          <w:spacing w:val="-9"/>
          <w:sz w:val="28"/>
          <w:szCs w:val="28"/>
        </w:rPr>
        <w:t>项目</w:t>
      </w:r>
      <w:r>
        <w:rPr>
          <w:rFonts w:ascii="Times New Roman" w:hAnsi="Times New Roman" w:eastAsia="仿宋_GB2312"/>
          <w:color w:val="000000"/>
          <w:spacing w:val="-9"/>
          <w:sz w:val="28"/>
          <w:szCs w:val="28"/>
        </w:rPr>
        <w:t>分类管理机制</w:t>
      </w:r>
      <w:r>
        <w:rPr>
          <w:rFonts w:hint="eastAsia" w:ascii="Times New Roman" w:hAnsi="Times New Roman" w:eastAsia="仿宋_GB2312"/>
          <w:color w:val="000000"/>
          <w:spacing w:val="-9"/>
          <w:sz w:val="28"/>
          <w:szCs w:val="28"/>
        </w:rPr>
        <w:t>。拟委托专业机构的，综合考虑目前专业机构的履约信誉、任务匹配度、项目管理能力、人员队伍、管理业绩、任务饱和程度、工作延续性以及管理工作方案的可行性，以及本专项专业技术领域特点。）</w:t>
      </w:r>
    </w:p>
    <w:p w14:paraId="4EC5101C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坚持分类精准施策，建立“企业主导、应用牵引、多元协同、权责清晰”的高效实施机制，充分发挥企业在技术创新决策、研发投入、科研组织和成果转化中的主体作用。</w:t>
      </w:r>
    </w:p>
    <w:p w14:paraId="429BF5D2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企业主导的协同攻关模式：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针对面向重大应用场景、市场需求明确的关键共性技术攻关任务，鼓励由行业领军企业作为牵头单位，提出“应用出题”，组织高校、科研院所等优势团队联合“答题”。通过“企业+高校/院所”的“双牵头”模式，形成从基础研究、关键技术突破到产品应用的全链条协同。中央财政资金发挥战略引导作用，带动企业按比例投入自筹资金，形成风险共担、利益共享的联合攻关机制，充分发挥企业资金的市场化驱动力，确保研发成果直接面向产业需求，加速成果转化和迭代升级。</w:t>
      </w:r>
    </w:p>
    <w:p w14:paraId="4981444D">
      <w:pPr>
        <w:ind w:firstLine="526" w:firstLineChars="200"/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多元项目组织模式：针对不同任务性质，灵活采用多种项目组织模式。</w:t>
      </w:r>
    </w:p>
    <w:p w14:paraId="54B80AF6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定向委托：对于目标明确、路径清晰、涉及产业链核心环节的重大战略性任务，可采取“定向委托”模式，择优选择具有长期积累和雄厚实力的国家战略科技力量承担。</w:t>
      </w:r>
    </w:p>
    <w:p w14:paraId="49CEEDB2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揭榜挂帅：对于面向重大应用场景、急需突破的“卡脖子”技术难题，实行“揭榜挂帅”机制，唯才是举，鼓励各类创新主体公平竞争，特别是激发有潜力的科技型中小企业活力。</w:t>
      </w:r>
    </w:p>
    <w:p w14:paraId="42BFB3CC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青年科技人才培养：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设立青年科学家项目，支持青年科研人员在关键核心技术攻关中挑大梁、当主角。支持男38岁、女40岁以下的青年科研人员承担项目，在同等条件下优先支持35岁以下青年人才。对结题考核优秀的青年项目，在后续任务安排中予以优先考虑。</w:t>
      </w:r>
    </w:p>
    <w:p w14:paraId="5450ED99">
      <w:pPr>
        <w:ind w:firstLine="526" w:firstLineChars="200"/>
        <w:rPr>
          <w:rFonts w:hint="eastAsia" w:ascii="Times New Roman" w:hAnsi="Times New Roman" w:eastAsia="仿宋_GB2312"/>
          <w:color w:val="000000"/>
          <w:spacing w:val="-9"/>
          <w:sz w:val="28"/>
          <w:szCs w:val="28"/>
          <w:lang w:eastAsia="zh-CN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全过程管理与服务：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强化项目全过程管理与服务，建立“里程碑”考核机制。专业机构组织</w:t>
      </w:r>
      <w:r>
        <w:rPr>
          <w:rFonts w:hint="eastAsia" w:ascii="Times New Roman" w:hAnsi="Times New Roman" w:eastAsia="仿宋_GB2312"/>
          <w:spacing w:val="-9"/>
          <w:sz w:val="28"/>
          <w:szCs w:val="28"/>
          <w:lang w:val="en-US" w:eastAsia="zh-CN"/>
        </w:rPr>
        <w:t>评审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专家或第三方评估机构，对项目关键节点进行动态跟踪和评估。根据技术进展、市场变化及国际形势，可适时对任务实施路径、考核指标等进行优化调整。项目承担单位作为项目管理的第一责任主体，需建立完善的内部管理、风险防控和知识产权保护制度。建立信用评价体系，对项目实施主体进行信用记录，作为后续支持的重要参考。</w:t>
      </w:r>
    </w:p>
    <w:p w14:paraId="37128092">
      <w:pPr>
        <w:adjustRightInd w:val="0"/>
        <w:spacing w:line="560" w:lineRule="exact"/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color w:val="000000"/>
          <w:spacing w:val="-9"/>
          <w:sz w:val="28"/>
          <w:szCs w:val="28"/>
        </w:rPr>
        <w:t xml:space="preserve">3.任务动态调整机制 </w:t>
      </w:r>
      <w:r>
        <w:rPr>
          <w:rFonts w:hint="eastAsia" w:ascii="Times New Roman" w:hAnsi="Times New Roman" w:eastAsia="仿宋_GB2312"/>
          <w:color w:val="000000"/>
          <w:spacing w:val="-9"/>
          <w:sz w:val="28"/>
          <w:szCs w:val="28"/>
        </w:rPr>
        <w:t>（说明专项实施期间由于国内外形势变化、技术攻关进展、重大颠覆性发现、科技快速迭代等原因，实施方案主要任务可能存在的动态调整需要。）</w:t>
      </w:r>
    </w:p>
    <w:p w14:paraId="2A217296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建立灵活、包容的任务动态调整机制，确保专项布局始终保持前瞻性、战略性和适应性，为应对不确定性预留操作空间。</w:t>
      </w:r>
    </w:p>
    <w:p w14:paraId="3767C85E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适应国际形势变化：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建立对国际科技竞争态势、进出口管制政策等变化的跟踪研判机制。当国际形势发生重大变化，对现有技术路径造成影响时，由专项实施协调机制组织专家深入研判，适时优化任务布局，在巩固主赛道的同时，探索开辟非对称技术路线，确保专项整体目标的稳健实现。</w:t>
      </w:r>
    </w:p>
    <w:p w14:paraId="6D7434FD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紧跟前沿技术突破：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建立前沿技术动态追踪与专家评议机制。定期组织战略专家，对全球微纳电子领域的最新突破性成果、颠覆性技术进行扫描与研判。对于有潜力改变技术发展方向的重大原创性发现，可探索通过专家推荐、定向委托等方式，在已有任务框架下灵活部署探索性研究任务，为未来发展储备技术能力。</w:t>
      </w:r>
    </w:p>
    <w:p w14:paraId="40C36FF0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基于中期评估的优化：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在专项实施的中期阶段，组织独立第三方评估机构进行全面系统的绩效评估。根据评估结果，对各项任务的进展、技术指标的先进性、组织管理效能等进行综合研判，对成效显著、需求迫切的任务可加大支持力度，对进展滞后的任务进行指导调整，确保专项整体高效推进。</w:t>
      </w:r>
    </w:p>
    <w:p w14:paraId="76111926">
      <w:pPr>
        <w:adjustRightInd w:val="0"/>
        <w:spacing w:line="560" w:lineRule="exact"/>
        <w:ind w:firstLine="567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ascii="Times New Roman" w:hAnsi="Times New Roman" w:eastAsia="仿宋_GB2312"/>
          <w:b/>
          <w:bCs/>
          <w:spacing w:val="-9"/>
          <w:sz w:val="28"/>
          <w:szCs w:val="28"/>
        </w:rPr>
        <w:t>（二）保障措施</w:t>
      </w: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 xml:space="preserve"> 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（</w:t>
      </w:r>
      <w:r>
        <w:rPr>
          <w:rFonts w:ascii="Times New Roman" w:hAnsi="Times New Roman" w:eastAsia="仿宋_GB2312"/>
          <w:spacing w:val="-9"/>
          <w:sz w:val="28"/>
          <w:szCs w:val="28"/>
        </w:rPr>
        <w:t>说明主责单位、相关部门、地方、单位对专项组织实施，特别是在推动成果转化方面的配套政策，如集成应用示范、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场景开放、测试平台建设、</w:t>
      </w:r>
      <w:r>
        <w:rPr>
          <w:rFonts w:ascii="Times New Roman" w:hAnsi="Times New Roman" w:eastAsia="仿宋_GB2312"/>
          <w:spacing w:val="-9"/>
          <w:sz w:val="28"/>
          <w:szCs w:val="28"/>
        </w:rPr>
        <w:t>中试平台建设、产业对接、行业标准、市场准入、补贴优惠、激励机制、知识产权保护措施等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。）</w:t>
      </w:r>
    </w:p>
    <w:p w14:paraId="4DB8EF01">
      <w:pPr>
        <w:ind w:firstLine="526" w:firstLineChars="200"/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1.强化政策协同与产业化导向保障</w:t>
      </w:r>
    </w:p>
    <w:p w14:paraId="2B66404B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优化采购与准入机制：加大首台（套）、首批次、首版次应用保险补偿机制对专项成果的支持力度。建立自主创新产品推荐目录，在政府主导的国家重大工程、关键基础设施、国有企业采购中，引导优先使用自主可控的国产芯片、装备、软件，为国产技术提供早期市场和迭代机会。严格进口产品审查，营造公平竞争的市场环境。</w:t>
      </w:r>
    </w:p>
    <w:p w14:paraId="4BF929F0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完善知识产权保护与成果转化：建立健全专项成果的知识产权管理制度，明确项目承担单位的知识产权归属、使用和转移规则，支持高校院所通过“先使用后付费”等方式向中小企业转化成果。加大对集成电路布图设计、核心专利的司法保护力度，营造鼓励创新、保护创新的良好氛围。</w:t>
      </w:r>
    </w:p>
    <w:p w14:paraId="51924B88">
      <w:pPr>
        <w:ind w:firstLine="526" w:firstLineChars="200"/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2.创新资金投入与保障机制</w:t>
      </w:r>
    </w:p>
    <w:p w14:paraId="79034720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多元化投入体系：强化中央财政资金的战略引领作用，重点支持基础前沿、共性关键技术攻关。对于面向产业应用、市场属性显著的任务，坚持以企业投入为主，中央财政通过“后补助”、税收优惠等方式引导，撬动更多社会资本投入。鼓励地方政府结合区域产业优势，配套资金支持专项成果在本地转化和产业化，形成“中央引导、地方配套、企业为主、社会参与”的多元化投入格局。</w:t>
      </w:r>
    </w:p>
    <w:p w14:paraId="20D74E34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科技金融支撑：鼓励国家新兴产业创业投资引导基金、国家集成电路产业投资基金等，加强与本专项的对接，对专项成果转化和产业化项目进行投资。支持金融机构开发符合科技企业特点的信贷产品，为专项支持的创新型企业提供全生命周期的金融服务。</w:t>
      </w:r>
    </w:p>
    <w:p w14:paraId="59B4891D">
      <w:pPr>
        <w:ind w:firstLine="526" w:firstLineChars="200"/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3.深化产学研用融合与平台建设</w:t>
      </w:r>
    </w:p>
    <w:p w14:paraId="7296FFED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构建协同创新网络：依托专项任务，推动国家实验室、全国重点实验室、国家技术创新中心等国家级创新平台与龙头企业、高校院所深度融合。支持组建由领军企业牵头的创新联合体，实现“应用-设计-制造-工具”全链条协同，促进创新链与产业链的精准对接。</w:t>
      </w:r>
    </w:p>
    <w:p w14:paraId="15CF6788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推进产教融合：与国家集成电路产教融合创新平台形成联动，将专项攻关任务与人才培养紧密结合。鼓励项目承担单位联合高校建立微纳电子技术卓越工程师培养基地，通过“双导师制”、联合攻关等方式，培养一批兼具理论深度和实践能力的复合型、创新型人才。</w:t>
      </w:r>
    </w:p>
    <w:p w14:paraId="48E0EDF1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4.加强第三方平台与专家智库支撑</w:t>
      </w:r>
    </w:p>
    <w:p w14:paraId="1BA29730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充分发挥第三方平台作用：鼓励和支持专业化、市场化的第三方技术服务平台、检测认证机构、中试平台等参与专项实施，为项目团队提供技术验证、性能测试、工艺优化、成果评估等服务，降低创新成本，加速成果</w:t>
      </w:r>
      <w:r>
        <w:rPr>
          <w:rFonts w:hint="eastAsia" w:ascii="Times New Roman" w:hAnsi="Times New Roman" w:eastAsia="仿宋_GB2312"/>
          <w:spacing w:val="-9"/>
          <w:sz w:val="28"/>
          <w:szCs w:val="28"/>
          <w:lang w:val="en-US" w:eastAsia="zh-CN"/>
        </w:rPr>
        <w:t>熟化</w:t>
      </w:r>
      <w:r>
        <w:rPr>
          <w:rFonts w:hint="eastAsia" w:ascii="Times New Roman" w:hAnsi="Times New Roman" w:eastAsia="仿宋_GB2312"/>
          <w:spacing w:val="-9"/>
          <w:sz w:val="28"/>
          <w:szCs w:val="28"/>
        </w:rPr>
        <w:t>。</w:t>
      </w:r>
    </w:p>
    <w:p w14:paraId="0E7F054B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建立高水平专家智库：组建由战略科学家、技术专家、产业领袖、政策专家等多方力量构成的专项专家咨询委员会，参与专项顶层设计、战略研判、项目评审、中期评估和绩效评价等工作。定期举办高水平学术会议、产业论坛、技术对接会等活动，促进学术交流、思想碰撞与产学研用深度融合，为专项实施提供高质量的智力支持。</w:t>
      </w:r>
    </w:p>
    <w:p w14:paraId="5A8CF2D0">
      <w:pPr>
        <w:ind w:firstLine="526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spacing w:val="-9"/>
          <w:sz w:val="28"/>
          <w:szCs w:val="28"/>
        </w:rPr>
        <w:t>5.加强开放合作与人才队伍建设</w:t>
      </w:r>
    </w:p>
    <w:p w14:paraId="1C9E7844">
      <w:pPr>
        <w:ind w:firstLine="524" w:firstLineChars="200"/>
        <w:rPr>
          <w:rFonts w:hint="eastAsia" w:ascii="Times New Roman" w:hAnsi="Times New Roman" w:eastAsia="仿宋_GB2312"/>
          <w:spacing w:val="-9"/>
          <w:sz w:val="28"/>
          <w:szCs w:val="28"/>
        </w:rPr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坚持开放创新：在保障国家科技安全的前提下，积极拓展国际科技交流与合作渠道。支持国内科研机构和企业参与国际大科学计划、国际标准制定，吸引全球顶尖科学家和团队来华开展合作研究，利用全球创新资源服务我国微纳电子技术发展。</w:t>
      </w:r>
    </w:p>
    <w:p w14:paraId="367A13CD">
      <w:pPr>
        <w:ind w:firstLine="524" w:firstLineChars="200"/>
      </w:pPr>
      <w:r>
        <w:rPr>
          <w:rFonts w:hint="eastAsia" w:ascii="Times New Roman" w:hAnsi="Times New Roman" w:eastAsia="仿宋_GB2312"/>
          <w:spacing w:val="-9"/>
          <w:sz w:val="28"/>
          <w:szCs w:val="28"/>
        </w:rPr>
        <w:t>构建人才高地：通过专项实施，集聚和培养一批具有国际影响力的战略科学家、领军人才和高水平创新团队。鼓励通过“揭榜挂帅”等机制，让领军人才在重大任务中挑大梁。支持青年科技人才在关键岗位和重大项目中历练成长，营造潜心钻研、追求卓越的良好氛围，为建设科技强国奠定坚实的人才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154FA"/>
    <w:rsid w:val="42650C98"/>
    <w:rsid w:val="7431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adjustRightInd w:val="0"/>
      <w:snapToGrid w:val="0"/>
      <w:spacing w:before="0" w:beforeLines="0" w:beforeAutospacing="0" w:after="0" w:afterLines="0" w:afterAutospacing="0" w:line="560" w:lineRule="exact"/>
      <w:ind w:firstLine="576" w:firstLineChars="200"/>
      <w:outlineLvl w:val="0"/>
    </w:pPr>
    <w:rPr>
      <w:rFonts w:ascii="Times New Roman" w:hAnsi="Times New Roman" w:eastAsia="黑体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qFormat/>
    <w:uiPriority w:val="34"/>
    <w:pPr>
      <w:suppressAutoHyphens/>
      <w:spacing w:line="279" w:lineRule="auto"/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20465</Words>
  <Characters>20996</Characters>
  <Lines>0</Lines>
  <Paragraphs>0</Paragraphs>
  <TotalTime>12</TotalTime>
  <ScaleCrop>false</ScaleCrop>
  <LinksUpToDate>false</LinksUpToDate>
  <CharactersWithSpaces>21073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2026-03-23T06:10:00Z</dcterms:created>
  <dc:creator>晶小芯</dc:creator>
  <cp:lastModifiedBy>晶小芯</cp:lastModifiedBy>
  <dcterms:modified xsi:type="dcterms:W3CDTF">2026-03-23T08:29:19Z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ECF80F86EB314BDEAA9E11F2D7D45004_11</vt:lpwstr>
  </property>
  <property fmtid="{D5CDD505-2E9C-101B-9397-08002B2CF9AE}" pid="4" name="KSOTemplateDocerSaveRecord">
    <vt:lpwstr>eyJoZGlkIjoiZTJhNGE2OTI2YjhmYjExMDM3MTc2YTRlNzU1NzZiNTMiLCJ1c2VySWQiOiIxNTU3MTkzNjI3In0=</vt:lpwstr>
  </property>
</Properties>
</file>