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重大专项指南帽子（战略意义、重要性、必要性）</w:t>
      </w:r>
    </w:p>
    <w:p/>
    <w:p/>
    <w:p>
      <w:pPr>
        <w:pStyle w:val="Heading1"/>
        <w:jc w:val="center"/>
      </w:pPr>
      <w:r>
        <w:t>关于设立"超低轨天基智能体网络"重大专项的立项建议</w:t>
      </w:r>
    </w:p>
    <w:p/>
    <w:p/>
    <w:p>
      <w:pPr>
        <w:pStyle w:val="Heading1"/>
        <w:jc w:val="center"/>
      </w:pPr>
      <w:r>
        <w:t>一、重要意义</w:t>
      </w:r>
    </w:p>
    <w:p/>
    <w:p>
      <w:pPr>
        <w:pStyle w:val="Heading2"/>
      </w:pPr>
      <w:r>
        <w:t>（一）重大战略意义</w:t>
      </w:r>
    </w:p>
    <w:p/>
    <w:p>
      <w:r>
        <w:t>党的二十大报告明确提出，要"加快建设航天强国"，"打造强大战略威慑力量体系，增加新域新质作战力量比重"。习近平总书记深刻指出，"太空是人类探索未知世界的重要领域，也是国际战略竞争的新高地"。当前，太空已成为继陆、海、空、电磁频谱之后大国战略博弈的第五维核心域，抢占天基智能化制高点，是维护国家主权安全、拓展发展利益空间的重大战略任务。</w:t>
      </w:r>
    </w:p>
    <w:p/>
    <w:p>
      <w:r>
        <w:t>超低轨道（VLEO，150～450公里）是天基体系中战略价值最高、国际争夺最为激烈的轨位资源。该轨位具有路径损耗低（较LEO降低15～20dB）、对地分辨率高（可优于0.1米）、通信时延极短（1～3毫秒）等显著优势，是支撑全球实时感知、天地一体化通信、高精度导航增强和快速响应打击链路的战略优选轨位。国际电联轨道频率资源具有"先占先得"特性，一旦该轨位被他方密集占据，我国将面临严峻的轨道频率权益压缩。加快超低轨天基智能体网络建设，是维护国家太空权益、确保战略通道畅通的紧迫任务。</w:t>
      </w:r>
    </w:p>
    <w:p/>
    <w:p>
      <w:pPr>
        <w:pStyle w:val="Heading2"/>
      </w:pPr>
      <w:r>
        <w:t>（二）满足国家重大需求的迫切性</w:t>
      </w:r>
    </w:p>
    <w:p/>
    <w:p>
      <w:r>
        <w:t>从国际竞争格局看，以美国为首的西方国家正加速推进太空军事化和智能化进程。2026年3月，美国NVIDIA公司正式发布面向轨道环境的Space-1 Vera Rubin人工智能计算模组，算力较前代H100提升25倍，标志着其将地面人工智能技术代差向太空延伸的战略意图已进入实施阶段；SpaceX星链在轨卫星数量突破7000颗，具备持续侦察、宽带通信与星上处理的一体化能力，正深刻改变未来战场的信息对抗格局。</w:t>
      </w:r>
    </w:p>
    <w:p/>
    <w:p>
      <w:r>
        <w:t>从我国发展阶段看，当前我国卫星体系仍沿袭"通信、遥感、导航分域建设"的传统范式，单星功能单一、星座协同能力弱、星上智能化水平低，难以应对高烈度、高时效、高复杂度的体系化作战需求。在运载能力和芯片工艺存在代差的条件下，继续走"以数量补性能"的老路，不仅经济代价极高，而且在结构上难以实现弯道超车。加快推动卫星技术从"功能分离、被动执行"向"多能一体、智能涌现"的范式跃升，是破解当前发展困局的根本出路。</w:t>
      </w:r>
    </w:p>
    <w:p/>
    <w:p>
      <w:r>
        <w:t>从科技自立自强的要求看，党中央明确部署"把核心技术掌握在自己手中"，突破卫星智能体的关键核心技术，不仅是防范"卡脖子"风险的必要之举，也是构建自主可控天基体系的重要支撑。软件定义晶上系统（SDSoW）、软件定义互联（SDI）等技术路线立足国内先进封装产业基础，不依赖受制裁的先进制程节点，是走自主创新路线的现实可行之策。</w:t>
      </w:r>
    </w:p>
    <w:p/>
    <w:p>
      <w:pPr>
        <w:pStyle w:val="Heading2"/>
      </w:pPr>
      <w:r>
        <w:t>（三）实施条件已经具备的可行性</w:t>
      </w:r>
    </w:p>
    <w:p/>
    <w:p>
      <w:r>
        <w:rPr>
          <w:b/>
        </w:rPr>
        <w:t>一是理论基础已经形成。</w:t>
      </w:r>
      <w:r>
        <w:t>我国自主提出的网络时空协同复杂度（CST）理论，系统揭示了物理网络智能涌现的定量规律，明确了从"二流器件"实现"一流装备"的科学依据，为卫星智能体技术路线提供了坚实的原创性理论支撑。</w:t>
      </w:r>
    </w:p>
    <w:p/>
    <w:p>
      <w:r>
        <w:rPr>
          <w:b/>
        </w:rPr>
        <w:t>二是产业基础初步具备。</w:t>
      </w:r>
      <w:r>
        <w:t>以中芯国际、华虹半导体为代表的集成电路制造企业，以及国内多家先进封装头部企业，已具备支撑SDSoW晶上系统工程化实施的基础工艺能力，不受出口管制的直接威胁。</w:t>
      </w:r>
    </w:p>
    <w:p/>
    <w:p>
      <w:r>
        <w:rPr>
          <w:b/>
        </w:rPr>
        <w:t>三是工程条件日趋成熟。</w:t>
      </w:r>
      <w:r>
        <w:t>我国长征系列运载火箭已具备可靠的商业化发射能力，商业航天蓬勃发展，超低轨卫星在轨运行的工程经验正在积累，具备开展系统验证的工程基础。</w:t>
      </w:r>
    </w:p>
    <w:p/>
    <w:p>
      <w:r>
        <w:rPr>
          <w:b/>
        </w:rPr>
        <w:t>四是体制机制优势突出。</w:t>
      </w:r>
      <w:r>
        <w:t>集中力量办大事的体制优势，以及军民深度融合的创新机制，能够有效支撑这一跨领域、长周期的复杂系统工程，实现关键技术的协同突破与快速工程转化。</w:t>
      </w:r>
    </w:p>
    <w:p/>
    <w:p>
      <w:pPr>
        <w:pStyle w:val="Heading2"/>
      </w:pPr>
      <w:r>
        <w:t>（四）战略影响深远性</w:t>
      </w:r>
    </w:p>
    <w:p/>
    <w:p>
      <w:r>
        <w:t>超低轨天基智能体网络一旦建成，将实现以下战略效益：在军事上，构建覆盖全球的分布式感知-计算-通信-打击支援一体化天基力量，支撑"发现即摧毁"的杀伤网能力形成；在经济上，形成具有国际竞争力的卫星互联网、商业遥感、精准导航增强等新兴产业体系，带动万亿级产业集群；在科技上，形成具有自主知识产权的天基智能体核心技术标准，引领国际卫星技术发展方向；在战略上，守住超低轨道的频率和轨位资源，保障国家太空权益，维护战略通道安全。</w:t>
      </w:r>
    </w:p>
    <w:p/>
    <w:p>
      <w:r>
        <w:t>综上，设立"超低轨天基智能体网络"重大专项，是贯彻落实党的二十大精神和习近平强军思想的重要举措，是实现航天强国战略目标的紧迫需要，是破解太空领域技术代差、维护国家战略利益的必然选择。当前，时间窗口宝贵，国际竞争激烈，必须只争朝夕，加快推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