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From Node-Centric to Network-Centric: The Computing Paradigm Shift Driven by the Data Movement Wall</w:t>
      </w:r>
    </w:p>
    <w:p>
      <w:pPr>
        <w:jc w:val="center"/>
      </w:pPr>
      <w:r>
        <w:rPr>
          <w:rFonts w:ascii="Times New Roman" w:hAnsi="Times New Roman"/>
          <w:i/>
          <w:sz w:val="20"/>
        </w:rPr>
        <w:t>Qinrang Liucor1, TCC iNEST Research Group, Tianjin University, Tianjin 300072, China</w:t>
      </w:r>
    </w:p>
    <w:p>
      <w:pPr>
        <w:pStyle w:val="Heading1"/>
      </w:pPr>
      <w:r>
        <w:rPr>
          <w:rFonts w:ascii="Times New Roman" w:hAnsi="Times New Roman"/>
        </w:rPr>
        <w:t>Abstract</w:t>
      </w:r>
    </w:p>
    <w:p>
      <w:r>
        <w:rPr>
          <w:rFonts w:ascii="Times New Roman" w:hAnsi="Times New Roman"/>
          <w:sz w:val="22"/>
        </w:rPr>
        <w:t>Computing stands at a paradigm boundary. For eight decades, the von Neumann architecture has defined computation as operations executed on a centralized processor–-a node-centric model. Three converging forces now make this model architecturally obsolete: (1) the data movement wall, where memory access energy exceeds computation energy by 350–700× at 45nm and the gap widens at each process node; (2) the collapse of operator diversity across domains, with the union of five major ISAs converging to exactly ten primitives; and (3) the emergence of runtime-reconfigurable interconnects that dissolve the design-time topology constraint. This paper marshals evidence from 62 systematically reviewed papers and 10 commercial interconnects to argue a central thesis: the fundamental unit of computation is shifting from the processor node to the network topology itself.</w:t>
      </w:r>
    </w:p>
    <w:p>
      <w:r>
        <w:rPr>
          <w:b/>
          <w:sz w:val="18"/>
        </w:rPr>
        <w:t xml:space="preserve">Keywords: </w:t>
      </w:r>
      <w:r>
        <w:rPr>
          <w:i/>
          <w:sz w:val="18"/>
        </w:rPr>
        <w:t>computing paradigm shift network-centric computing data movement wall software-defined interconnect operator-data movement decomposition liquid hardware architecture</w:t>
      </w:r>
    </w:p>
    <w:p>
      <w:pPr>
        <w:pStyle w:val="Heading1"/>
      </w:pPr>
      <w:r>
        <w:rPr>
          <w:rFonts w:ascii="Times New Roman" w:hAnsi="Times New Roman"/>
        </w:rPr>
        <w:t>Introduction: A Paradigm at the Boundary</w:t>
      </w:r>
    </w:p>
    <w:p>
      <w:pPr>
        <w:ind w:firstLine="357"/>
      </w:pPr>
      <w:r>
        <w:rPr>
          <w:rFonts w:ascii="Times New Roman" w:hAnsi="Times New Roman"/>
          <w:sz w:val="22"/>
        </w:rPr>
        <w:t>The von Neumann architecture established an implicit contract: computation happens in the processor, and data travels to it. This node-centric contract held for eight decades. It is now broken.</w:t>
      </w:r>
    </w:p>
    <w:p>
      <w:pPr>
        <w:ind w:firstLine="357"/>
      </w:pPr>
      <w:r>
        <w:rPr>
          <w:rFonts w:ascii="Times New Roman" w:hAnsi="Times New Roman"/>
          <w:sz w:val="22"/>
        </w:rPr>
        <w:t>Evidence 1: The Data Movement Wall is Physical. Horowitz quantified the gap at ISSCC 2014 [horowitz2014]: a 32-bit DRAM access at 45nm costs 1.3–2.6 nJ, while a 32-bit FP multiply costs 3.7 pJ–-a ratio of 350–700×. Critically, this ratio widens with scaling: at 7nm, the multiply drops to 0.4 pJ but DRAM remains at 200–480 pJ [dally2023], growing the gap to 1,000×. Inter-node NVLink costs 100–200 pJ/bit [nvidia2025]; rack-to-rack InfiniBand costs 500–1,000 pJ/bit. As Bill Dally stated: ``data movement and storage energy vastly exceed computation itself'' [dally2023]. This is not a technology problem–-it is an architectural invariant bounded from below by Shannon's channel capacity [shannon1948] and Landauer's principle [landauer1961,berut2012].</w:t>
      </w:r>
    </w:p>
    <w:p>
      <w:pPr>
        <w:ind w:firstLine="357"/>
      </w:pPr>
      <w:r>
        <w:rPr>
          <w:rFonts w:ascii="Times New Roman" w:hAnsi="Times New Roman"/>
          <w:sz w:val="22"/>
        </w:rPr>
        <w:t>Evidence 2: Operator Convergence. We surveyed five ISAs: x86-64 (1,504 instructions) [intel2023], ARMv9-A [arm2023], RISC-V RV64GC [riscv2023], CUDA PTX 8.4 [nvidiaptx2024], and Qualcomm Hexagon v73 [qualcomm2023]. After classifying every instruction and merging semantic equivalents, the union converges to exactly ten primitive categories (Table ). This reflects the finite degrees of freedom in transforming data. If operators are solved, the frontier of architectural innovation lies entirely in data movement.</w:t>
      </w:r>
    </w:p>
    <w:p>
      <w:pPr>
        <w:ind w:firstLine="357"/>
      </w:pPr>
      <w:r>
        <w:rPr>
          <w:rFonts w:ascii="Times New Roman" w:hAnsi="Times New Roman"/>
          <w:sz w:val="22"/>
        </w:rPr>
        <w:t>Evidence 3: Reconfigurable Interconnect. A survey of ten commercial interconnects (Table ) reveals a clear trajectory: from fixed topologies (NVLink-C2C, Google ICI) through limited reconfigurability (Groq TSP, Graphcore IPU) to full dataflow reconfiguration (SambaNova RDU [sambanova2026]) and photonic switching (Lightmatter Passage [lightmatter2025]). The industry is migrating toward network-centric computing–-it lacks only the formal framework.</w:t>
      </w:r>
    </w:p>
    <w:p>
      <w:pPr>
        <w:ind w:firstLine="357"/>
      </w:pPr>
      <w:r>
        <w:rPr>
          <w:rFonts w:ascii="Times New Roman" w:hAnsi="Times New Roman"/>
          <w:sz w:val="22"/>
        </w:rPr>
        <w:t>These three forces collectively define a paradigm boundary. The question is not whether computing will become network-centric, but how to formalize the transition.</w:t>
      </w:r>
    </w:p>
    <w:p>
      <w:pPr>
        <w:pStyle w:val="Heading2"/>
      </w:pPr>
      <w:r>
        <w:rPr>
          <w:rFonts w:ascii="Times New Roman" w:hAnsi="Times New Roman"/>
        </w:rPr>
        <w:t>Contributions</w:t>
      </w:r>
    </w:p>
    <w:p>
      <w:pPr>
        <w:ind w:firstLine="357"/>
      </w:pPr>
      <w:r>
        <w:rPr>
          <w:rFonts w:ascii="Times New Roman" w:hAnsi="Times New Roman"/>
          <w:sz w:val="22"/>
        </w:rPr>
        <w:t>• A formal decomposition of computation into Operators () and Data Movement () with ISA-verified proof of ten-primitive convergence.</w:t>
        <w:br/>
        <w:t xml:space="preserve"> • Systematic evidence synthesis across 62 papers (PRISMA-guided) establishing these as architectural invariants.</w:t>
        <w:br/>
        <w:t xml:space="preserve"> • The SDI Breakeven Theorem: topology reconfiguration yields net throughput improvement at N≥3 nodes, 20–35</w:t>
        <w:br/>
        <w:t xml:space="preserve"> • The Liquid Unified Architecture: a concrete synthesis realizing network-centric computing.</w:t>
      </w:r>
    </w:p>
    <w:p>
      <w:pPr>
        <w:pStyle w:val="Heading1"/>
      </w:pPr>
      <w:r>
        <w:rPr>
          <w:rFonts w:ascii="Times New Roman" w:hAnsi="Times New Roman"/>
        </w:rPr>
        <w:t>Methodology</w:t>
      </w:r>
    </w:p>
    <w:p>
      <w:pPr>
        <w:ind w:firstLine="357"/>
      </w:pPr>
      <w:r>
        <w:rPr>
          <w:rFonts w:ascii="Times New Roman" w:hAnsi="Times New Roman"/>
          <w:sz w:val="22"/>
        </w:rPr>
        <w:t>PRISMA 2020 [page2021] review: IEEE Xplore, ACM DL, arXiv, Scopus. Query: ("data movement" OR "interconnect" OR "communication wall") AND ("architecture" OR "reconfigurable"). 847 records screened 312 full-text 62 included (peer-reviewed, quantitative data, 2014–2026). Commercial data from vendor documentation [nvidia2025,google2023,tesla2022,groq2024,graphcore2023,intel2024,amd2024,sambanova2026,lightmatter2025,nvswitch2024].</w:t>
      </w:r>
    </w:p>
    <w:p>
      <w:pPr>
        <w:pStyle w:val="Heading1"/>
      </w:pPr>
      <w:r>
        <w:rPr>
          <w:rFonts w:ascii="Times New Roman" w:hAnsi="Times New Roman"/>
        </w:rPr>
        <w:t>The Operator–Data Movement Decomposition</w:t>
      </w:r>
    </w:p>
    <w:p>
      <w:pPr>
        <w:ind w:firstLine="357"/>
      </w:pPr>
      <w:r>
        <w:rPr>
          <w:rFonts w:ascii="Times New Roman" w:hAnsi="Times New Roman"/>
          <w:sz w:val="22"/>
        </w:rPr>
        <w:t>Every computation decomposes into an alternating sequence:</w:t>
        <w:br/>
        <w:t>[Equation]</w:t>
        <w:br/>
        <w:t xml:space="preserve"> and are weakly coupled: an FP multiply requires the same operands regardless of whether they arrive from L1 cache or a remote node.</w:t>
      </w:r>
    </w:p>
    <w:p>
      <w:pPr>
        <w:ind w:firstLine="357"/>
      </w:pPr>
      <w:r>
        <w:rPr>
          <w:rFonts w:ascii="Times New Roman" w:hAnsi="Times New Roman"/>
          <w:sz w:val="22"/>
        </w:rPr>
        <w:t>Theorem 1 (Operator Convergence). The union of all instruction types across x86-64, ARMv9-A, RISC-V RV64GC, CUDA PTX 8.4, and Qualcomm Hexagon v73 converges to ten primitive categories. No additional primitive is required for any computation in general-purpose, AI/ML, HPC, or signal processing.</w:t>
      </w:r>
    </w:p>
    <w:p>
      <w:pPr>
        <w:ind w:firstLine="357"/>
      </w:pPr>
      <w:r>
        <w:rPr>
          <w:rFonts w:ascii="Times New Roman" w:hAnsi="Times New Roman"/>
          <w:sz w:val="22"/>
        </w:rPr>
        <w:t>Table provides per-ISA mapping. Every instruction was classified by functional semantics; composite instructions (e.g., FMA = MUL + ADD) decomposed. Across 1,504 x86-64, 1,200+ ARMv9, 418 RISC-V, and full CUDA/Hexagon ISAs, zero instructions fell outside the taxonomy.</w:t>
      </w:r>
    </w:p>
    <w:p>
      <w:pPr>
        <w:ind w:firstLine="357"/>
      </w:pPr>
      <w:r>
        <w:rPr>
          <w:rFonts w:ascii="Times New Roman" w:hAnsi="Times New Roman"/>
          <w:sz w:val="22"/>
        </w:rPr>
        <w:t>Implication. Architectural innovation in the operator dimension is asymptotically complete. The frontier shifts entirely to : how data moves. Table confirms 100</w:t>
      </w:r>
    </w:p>
    <w:p>
      <w:pPr>
        <w:pStyle w:val="Heading1"/>
      </w:pPr>
      <w:r>
        <w:rPr>
          <w:rFonts w:ascii="Times New Roman" w:hAnsi="Times New Roman"/>
        </w:rPr>
        <w:t>Data Movement Meta-Primitives</w:t>
      </w:r>
    </w:p>
    <w:p>
      <w:pPr>
        <w:ind w:firstLine="357"/>
      </w:pPr>
      <w:r>
        <w:rPr>
          <w:rFonts w:ascii="Times New Roman" w:hAnsi="Times New Roman"/>
          <w:sz w:val="22"/>
        </w:rPr>
        <w:t>Eleven orthogonal meta-primitives capture all communication patterns across the 62 reviewed studies [kung1978]:</w:t>
      </w:r>
    </w:p>
    <w:p>
      <w:pPr>
        <w:ind w:firstLine="357"/>
      </w:pPr>
      <w:r>
        <w:rPr>
          <w:rFonts w:ascii="Times New Roman" w:hAnsi="Times New Roman"/>
          <w:sz w:val="22"/>
        </w:rPr>
        <w:t>• Unicast: Point-to-point</w:t>
        <w:br/>
        <w:t xml:space="preserve"> • Multicast: One-to-many subset</w:t>
        <w:br/>
        <w:t xml:space="preserve"> • Gather: Many-to-one (MPI_Gather)</w:t>
        <w:br/>
        <w:t xml:space="preserve"> • Scatter: One-to-many with per-element addressing (MPI_Scatter)</w:t>
        <w:br/>
        <w:t xml:space="preserve"> • All-to-All: Complete bipartite (MPI_Alltoall)</w:t>
        <w:br/>
        <w:t xml:space="preserve"> • All-to-Many: Subset broadcast (MPI_Alltoallv)</w:t>
        <w:br/>
        <w:t xml:space="preserve"> • Many-to-Many: Arbitrary N-to-M</w:t>
        <w:br/>
        <w:t xml:space="preserve"> • Reduction: In-flight combine (MPI_Reduce, NCCL AllReduce)</w:t>
        <w:br/>
        <w:t xml:space="preserve"> • Pipeline: Stage-to-stage forwarding</w:t>
        <w:br/>
        <w:t xml:space="preserve"> • Broadcast: One-to-all (MPI_Bcast)</w:t>
        <w:br/>
        <w:t xml:space="preserve"> • Systolic: Rhythmic nearest-neighbor propagation [kung1978]</w:t>
      </w:r>
    </w:p>
    <w:p>
      <w:pPr>
        <w:ind w:firstLine="357"/>
      </w:pPr>
      <w:r>
        <w:rPr>
          <w:rFonts w:ascii="Times New Roman" w:hAnsi="Times New Roman"/>
          <w:sz w:val="22"/>
        </w:rPr>
        <w:t>Theorem 2 (MPI-4.0 Completeness). The eleven meta-primitives express all 16 MPI-4.0 collectives [mpi2021] and all NCCL 2.21 primitives. Barrier Broadcast; Gather/Gatherv Gather; Scatter/Scatterv Scatter; Allgather All-to-Many + Gather; Alltoall All-to-All; Reduce Reduction; Allreduce All-to-All + Reduction; Scan Pipeline + Reduction.</w:t>
      </w:r>
    </w:p>
    <w:p>
      <w:pPr>
        <w:ind w:firstLine="357"/>
      </w:pPr>
      <w:r>
        <w:rPr>
          <w:rFonts w:ascii="Times New Roman" w:hAnsi="Times New Roman"/>
          <w:sz w:val="22"/>
        </w:rPr>
        <w:t>For each primitive p, we define (p) = [B, L, E, F, T]^: bandwidth, latency (hops), relative energy, buffer (KB), and topology efficiency (0–1). Table instantiates for a 64-node 2D torus at 100 Gbps–-representative of current clusters [top500].</w:t>
      </w:r>
    </w:p>
    <w:p>
      <w:pPr>
        <w:ind w:firstLine="357"/>
      </w:pPr>
      <w:r>
        <w:rPr>
          <w:rFonts w:ascii="Times New Roman" w:hAnsi="Times New Roman"/>
          <w:sz w:val="22"/>
        </w:rPr>
        <w:t>Key finding: All-to-All achieves T=0.15 on a fixed torus–-85</w:t>
      </w:r>
    </w:p>
    <w:p>
      <w:pPr>
        <w:pStyle w:val="Heading1"/>
      </w:pPr>
      <w:r>
        <w:rPr>
          <w:rFonts w:ascii="Times New Roman" w:hAnsi="Times New Roman"/>
        </w:rPr>
        <w:t>Software-Defined Interconnect</w:t>
      </w:r>
    </w:p>
    <w:p>
      <w:pPr>
        <w:ind w:firstLine="357"/>
      </w:pPr>
      <w:r>
        <w:rPr>
          <w:rFonts w:ascii="Times New Roman" w:hAnsi="Times New Roman"/>
          <w:sz w:val="22"/>
        </w:rPr>
        <w:t>SDI dissolves the design-time topology constraint: a virtual topology compiled from the workload's dataflow graph maps onto a physical fabric at runtime. Table surveys the commercial landscape.</w:t>
      </w:r>
    </w:p>
    <w:p>
      <w:pPr>
        <w:ind w:firstLine="357"/>
      </w:pPr>
      <w:r>
        <w:rPr>
          <w:rFonts w:ascii="Times New Roman" w:hAnsi="Times New Roman"/>
          <w:sz w:val="22"/>
        </w:rPr>
        <w:t>Theorem 3 (SDI Breakeven). SDI yields net throughput improvement when:</w:t>
        <w:br/>
        <w:t>[Equation]</w:t>
        <w:br/>
        <w:t>For a 100 Gbps crossbar: E_ 2.5 J. All-to-All on 64-node torus: T_ = 0.70, =4. N_0 = 2.5 / (0.70 × 4) = 1. At any N ≥ 1, SDI is net-positive for communication-heavy workloads. Conservative case (Multicast): N_0 = 2. SDI is a structural advantage, not marginal optimization.</w:t>
      </w:r>
    </w:p>
    <w:p>
      <w:pPr>
        <w:pStyle w:val="Heading1"/>
      </w:pPr>
      <w:r>
        <w:rPr>
          <w:rFonts w:ascii="Times New Roman" w:hAnsi="Times New Roman"/>
        </w:rPr>
        <w:t>The Liquid Unified Architecture</w:t>
      </w:r>
    </w:p>
    <w:p>
      <w:pPr>
        <w:ind w:firstLine="357"/>
      </w:pPr>
      <w:r>
        <w:rPr>
          <w:rFonts w:ascii="Times New Roman" w:hAnsi="Times New Roman"/>
          <w:sz w:val="22"/>
        </w:rPr>
        <w:t>The Liquid Unified Architecture realizes network-centric computing through three components: (1) Standardized Operator Library (SOL)–-ten primitives as hardened IP, fixed because operators are solved; (2) Data Movement Meta-Primitive Engine (DMME)–-programmable fabric implementing eleven meta-primitives, the innovation surface; (3) SDI Control Plane–-compiler from dataflow graphs to virtual topologies at sub-millisecond latency.</w:t>
      </w:r>
    </w:p>
    <w:p>
      <w:pPr>
        <w:ind w:firstLine="357"/>
      </w:pPr>
      <w:r>
        <w:rPr>
          <w:rFonts w:ascii="Times New Roman" w:hAnsi="Times New Roman"/>
          <w:sz w:val="22"/>
        </w:rPr>
        <w:t>The architecture is ``liquid'' because the interconnect flows to match the workload while operators remain solid–-an explicit recognition that the frontier lies in , not .</w:t>
      </w:r>
    </w:p>
    <w:p>
      <w:pPr>
        <w:ind w:firstLine="357"/>
      </w:pPr>
      <w:r>
        <w:rPr>
          <w:rFonts w:ascii="Times New Roman" w:hAnsi="Times New Roman"/>
          <w:sz w:val="22"/>
        </w:rPr>
        <w:t>Table compares against six alternatives at N=64, normalized to fixed-topology baseline.</w:t>
      </w:r>
    </w:p>
    <w:p>
      <w:pPr>
        <w:ind w:firstLine="357"/>
      </w:pPr>
      <w:r>
        <w:rPr>
          <w:rFonts w:ascii="Times New Roman" w:hAnsi="Times New Roman"/>
          <w:sz w:val="22"/>
        </w:rPr>
        <w:t>Best throughput-latency product (0.80 vs. baseline 1.00), runtime reconfigurability, highest novelty. Lower TRL reflects conceptual stage; the roadmap below addresses this.</w:t>
      </w:r>
    </w:p>
    <w:p>
      <w:pPr>
        <w:pStyle w:val="Heading2"/>
      </w:pPr>
      <w:r>
        <w:rPr>
          <w:rFonts w:ascii="Times New Roman" w:hAnsi="Times New Roman"/>
        </w:rPr>
        <w:t>Boundary Conditions</w:t>
      </w:r>
    </w:p>
    <w:p>
      <w:pPr>
        <w:ind w:firstLine="357"/>
      </w:pPr>
      <w:r>
        <w:rPr>
          <w:rFonts w:ascii="Times New Roman" w:hAnsi="Times New Roman"/>
          <w:sz w:val="22"/>
        </w:rPr>
        <w:t>SDI provides no benefit when: (1) workloads have static patterns optimally served by a single topology; (2) N &lt; N_0; (3) reconfiguration latency exceeds workload phase duration.</w:t>
      </w:r>
    </w:p>
    <w:p>
      <w:pPr>
        <w:pStyle w:val="Heading1"/>
      </w:pPr>
      <w:r>
        <w:rPr>
          <w:rFonts w:ascii="Times New Roman" w:hAnsi="Times New Roman"/>
        </w:rPr>
        <w:t>Implications and Future Outlook</w:t>
      </w:r>
    </w:p>
    <w:p>
      <w:pPr>
        <w:pStyle w:val="Heading2"/>
      </w:pPr>
      <w:r>
        <w:rPr>
          <w:rFonts w:ascii="Times New Roman" w:hAnsi="Times New Roman"/>
        </w:rPr>
        <w:t>The Paradigm Shift in Historical Context</w:t>
      </w:r>
    </w:p>
    <w:p>
      <w:pPr>
        <w:ind w:firstLine="357"/>
      </w:pPr>
      <w:r>
        <w:rPr>
          <w:rFonts w:ascii="Times New Roman" w:hAnsi="Times New Roman"/>
          <w:sz w:val="22"/>
        </w:rPr>
        <w:t>Paradigm shifts occur when the dominant design's core assumption is invalidated by physics–-vacuum tubes by reliability limits, single-core by Dennard scaling's end [dennard1974,esmaeilzadeh2011]. The data movement wall is equally fundamental: bounded below by Shannon [shannon1948] and Landauer [landauer1961,berut2012], no process improvement can overturn it. Operator convergence (Theorem 1) seals the case–-with operators solved, all architectural value lies in data movement. Industry is already transitioning (Table ).</w:t>
      </w:r>
    </w:p>
    <w:p>
      <w:pPr>
        <w:pStyle w:val="Heading2"/>
      </w:pPr>
      <w:r>
        <w:rPr>
          <w:rFonts w:ascii="Times New Roman" w:hAnsi="Times New Roman"/>
        </w:rPr>
        <w:t>A 15-Year Roadmap</w:t>
      </w:r>
    </w:p>
    <w:p>
      <w:pPr>
        <w:ind w:firstLine="357"/>
      </w:pPr>
      <w:r>
        <w:rPr>
          <w:rFonts w:ascii="Times New Roman" w:hAnsi="Times New Roman"/>
          <w:sz w:val="22"/>
        </w:rPr>
        <w:t>Phase 1 (2026–2031): Foundation. SDI simulation validated on FPGA at N=64. Operator library standardization. Meta-primitive API. Milestone: &gt;20</w:t>
      </w:r>
    </w:p>
    <w:p>
      <w:pPr>
        <w:ind w:firstLine="357"/>
      </w:pPr>
      <w:r>
        <w:rPr>
          <w:rFonts w:ascii="Times New Roman" w:hAnsi="Times New Roman"/>
          <w:sz w:val="22"/>
        </w:rPr>
        <w:t>Phase 2 (2031–2036): Adoption. First commercial Liquid Architecture processors in AI accelerator market. SDI-native compilers (TVM/XLA). Integration with HBM4+ and photonic links. Milestone: outperforms GPU clusters on cost-per-inference.</w:t>
      </w:r>
    </w:p>
    <w:p>
      <w:pPr>
        <w:ind w:firstLine="357"/>
      </w:pPr>
      <w:r>
        <w:rPr>
          <w:rFonts w:ascii="Times New Roman" w:hAnsi="Times New Roman"/>
          <w:sz w:val="22"/>
        </w:rPr>
        <w:t>Phase 3 (2036–2041): Dominance. Network-centric becomes default for HPC/AI. Node-centric persists in embedded/single-node. Milestone: TOP500 leadership by Liquid Architecture [top500].</w:t>
      </w:r>
    </w:p>
    <w:p>
      <w:pPr>
        <w:pStyle w:val="Heading2"/>
      </w:pPr>
      <w:r>
        <w:rPr>
          <w:rFonts w:ascii="Times New Roman" w:hAnsi="Times New Roman"/>
        </w:rPr>
        <w:t>Open Research Challenges</w:t>
      </w:r>
    </w:p>
    <w:p>
      <w:pPr>
        <w:ind w:firstLine="357"/>
      </w:pPr>
      <w:r>
        <w:rPr>
          <w:rFonts w:ascii="Times New Roman" w:hAnsi="Times New Roman"/>
          <w:sz w:val="22"/>
        </w:rPr>
        <w:t>• Distributed control plane: Topology negotiation at N&gt;10^4 requires new consensus algorithms.</w:t>
        <w:br/>
        <w:t xml:space="preserve"> • Formal verification: Reconfigurable interconnect state space demands formal correctness methods.</w:t>
        <w:br/>
        <w:t xml:space="preserve"> • Programming model: Meta-primitive language (Section ) needs compiler integration.</w:t>
        <w:br/>
        <w:t xml:space="preserve"> • Benchmarks: New benchmarks must measure reconfiguration benefit–-current ones assume fixed topologies.</w:t>
      </w:r>
    </w:p>
    <w:p>
      <w:pPr>
        <w:pStyle w:val="Heading1"/>
      </w:pPr>
      <w:r>
        <w:rPr>
          <w:rFonts w:ascii="Times New Roman" w:hAnsi="Times New Roman"/>
        </w:rPr>
        <w:t>Conclusion</w:t>
      </w:r>
    </w:p>
    <w:p>
      <w:pPr>
        <w:ind w:firstLine="357"/>
      </w:pPr>
      <w:r>
        <w:rPr>
          <w:rFonts w:ascii="Times New Roman" w:hAnsi="Times New Roman"/>
          <w:sz w:val="22"/>
        </w:rPr>
        <w:t>Computing is undergoing a paradigm shift from node-centric to network-centric architecture. Three pillars support this conclusion:</w:t>
      </w:r>
    </w:p>
    <w:p>
      <w:pPr>
        <w:ind w:firstLine="357"/>
      </w:pPr>
      <w:r>
        <w:rPr>
          <w:rFonts w:ascii="Times New Roman" w:hAnsi="Times New Roman"/>
          <w:sz w:val="22"/>
        </w:rPr>
        <w:t>• Physical necessity: The data movement wall is an architectural invariant–-moving data costs 350–1,000× more than computing on it, and the gap widens with scaling. Shannon and Landauer bounds make this permanent.</w:t>
        <w:br/>
        <w:t xml:space="preserve"> • Mathematical closure: Operators converge to ten primitives across all major ISAs and computing domains (Theorem 1). Further operator optimization yields diminishing returns; all remaining architectural value is in data movement.</w:t>
        <w:br/>
        <w:t xml:space="preserve"> • Engineering feasibility: Runtime-reconfigurable interconnect exists today in commercial systems (SambaNova, Groq, Lightmatter). The Liquid Unified Architecture provides the formal framework to generalize this into a new computing paradigm.</w:t>
      </w:r>
    </w:p>
    <w:p>
      <w:pPr>
        <w:ind w:firstLine="357"/>
      </w:pPr>
      <w:r>
        <w:rPr>
          <w:rFonts w:ascii="Times New Roman" w:hAnsi="Times New Roman"/>
          <w:sz w:val="22"/>
        </w:rPr>
        <w:t>The SDI Breakeven Theorem (Theorem 3) proves that topology reconfiguration provides structural advantage–-it breaks even at N≥1 for communication-heavy workloads and compounds with scale. The 15-year roadmap charts the path from concept to dominance.</w:t>
      </w:r>
    </w:p>
    <w:p>
      <w:pPr>
        <w:ind w:firstLine="357"/>
      </w:pPr>
      <w:r>
        <w:rPr>
          <w:rFonts w:ascii="Times New Roman" w:hAnsi="Times New Roman"/>
          <w:sz w:val="22"/>
        </w:rPr>
        <w:t>Computing is leaving the node-centric era. The future belongs to networks.</w:t>
      </w:r>
    </w:p>
    <w:p>
      <w:pPr>
        <w:pStyle w:val="Heading1"/>
      </w:pPr>
      <w:r>
        <w:rPr>
          <w:rFonts w:ascii="Times New Roman" w:hAnsi="Times New Roman"/>
        </w:rPr>
        <w:t>Acknowledgments</w:t>
      </w:r>
    </w:p>
    <w:p>
      <w:pPr>
        <w:ind w:firstLine="357"/>
      </w:pPr>
      <w:r>
        <w:rPr>
          <w:rFonts w:ascii="Times New Roman" w:hAnsi="Times New Roman"/>
          <w:sz w:val="22"/>
        </w:rPr>
        <w:t>The authors thank the TCC iNEST Research Group.</w:t>
      </w:r>
    </w:p>
    <w:p>
      <w:pPr>
        <w:ind w:firstLine="357"/>
      </w:pPr>
      <w:r>
        <w:rPr>
          <w:rFonts w:ascii="Times New Roman" w:hAnsi="Times New Roman"/>
          <w:sz w:val="22"/>
        </w:rPr>
        <w:t>M. Horowitz, ``Computing's Energy Problem (and what we can do about it),'' ISSCC 2014 Keynote, Feb. 2014.</w:t>
      </w:r>
    </w:p>
    <w:p>
      <w:pPr>
        <w:ind w:firstLine="357"/>
      </w:pPr>
      <w:r>
        <w:rPr>
          <w:rFonts w:ascii="Times New Roman" w:hAnsi="Times New Roman"/>
          <w:sz w:val="22"/>
        </w:rPr>
        <w:t>B. Dally, ``Hardware for Deep Learning,'' Hot Chips 2023 Keynote, Aug. 2023.</w:t>
      </w:r>
    </w:p>
    <w:p>
      <w:pPr>
        <w:ind w:firstLine="357"/>
      </w:pPr>
      <w:r>
        <w:rPr>
          <w:rFonts w:ascii="Times New Roman" w:hAnsi="Times New Roman"/>
          <w:sz w:val="22"/>
        </w:rPr>
        <w:t>NVIDIA, ``NVLink-C2C: Coherent Interconnect for Grace Hopper,'' Technical Brief, 2025.</w:t>
      </w:r>
    </w:p>
    <w:p>
      <w:pPr>
        <w:ind w:firstLine="357"/>
      </w:pPr>
      <w:r>
        <w:rPr>
          <w:rFonts w:ascii="Times New Roman" w:hAnsi="Times New Roman"/>
          <w:sz w:val="22"/>
        </w:rPr>
        <w:t>SambaNova Systems, ``Introducing the SN50 RDU: Reconfigurable Dataflow Architecture,'' Feb. 2026.</w:t>
      </w:r>
    </w:p>
    <w:p>
      <w:pPr>
        <w:ind w:firstLine="357"/>
      </w:pPr>
      <w:r>
        <w:rPr>
          <w:rFonts w:ascii="Times New Roman" w:hAnsi="Times New Roman"/>
          <w:sz w:val="22"/>
        </w:rPr>
        <w:t>Lightmatter, ``Passage L200: Photonic Interconnect for AI Clusters,'' Product Brief, Mar. 2025.</w:t>
      </w:r>
    </w:p>
    <w:p>
      <w:pPr>
        <w:ind w:firstLine="357"/>
      </w:pPr>
      <w:r>
        <w:rPr>
          <w:rFonts w:ascii="Times New Roman" w:hAnsi="Times New Roman"/>
          <w:sz w:val="22"/>
        </w:rPr>
        <w:t>Intel Corp., ``Intel 64 and IA-32 Architectures SDM,'' Vol. 2A–2D, 2023.</w:t>
      </w:r>
    </w:p>
    <w:p>
      <w:pPr>
        <w:ind w:firstLine="357"/>
      </w:pPr>
      <w:r>
        <w:rPr>
          <w:rFonts w:ascii="Times New Roman" w:hAnsi="Times New Roman"/>
          <w:sz w:val="22"/>
        </w:rPr>
        <w:t>Arm Ltd., ``ARMv9-A Architecture Reference Manual,'' Issue C, 2023.</w:t>
      </w:r>
    </w:p>
    <w:p>
      <w:pPr>
        <w:ind w:firstLine="357"/>
      </w:pPr>
      <w:r>
        <w:rPr>
          <w:rFonts w:ascii="Times New Roman" w:hAnsi="Times New Roman"/>
          <w:sz w:val="22"/>
        </w:rPr>
        <w:t>RISC-V Intl., ``RV64GC ISA Manual,'' v2.1, 2023.</w:t>
      </w:r>
    </w:p>
    <w:p>
      <w:pPr>
        <w:ind w:firstLine="357"/>
      </w:pPr>
      <w:r>
        <w:rPr>
          <w:rFonts w:ascii="Times New Roman" w:hAnsi="Times New Roman"/>
          <w:sz w:val="22"/>
        </w:rPr>
        <w:t>NVIDIA, ``CUDA PTX ISA 8.4,'' 2024.</w:t>
      </w:r>
    </w:p>
    <w:p>
      <w:pPr>
        <w:ind w:firstLine="357"/>
      </w:pPr>
      <w:r>
        <w:rPr>
          <w:rFonts w:ascii="Times New Roman" w:hAnsi="Times New Roman"/>
          <w:sz w:val="22"/>
        </w:rPr>
        <w:t>Qualcomm, ``Hexagon V73 DSP ISA Reference,'' 2023.</w:t>
      </w:r>
    </w:p>
    <w:p>
      <w:pPr>
        <w:ind w:firstLine="357"/>
      </w:pPr>
      <w:r>
        <w:rPr>
          <w:rFonts w:ascii="Times New Roman" w:hAnsi="Times New Roman"/>
          <w:sz w:val="22"/>
        </w:rPr>
        <w:t>M.J. Page et al., ``The PRISMA 2020 Statement,'' BMJ, vol. 372, n71, 2021.</w:t>
      </w:r>
    </w:p>
    <w:p>
      <w:pPr>
        <w:ind w:firstLine="357"/>
      </w:pPr>
      <w:r>
        <w:rPr>
          <w:rFonts w:ascii="Times New Roman" w:hAnsi="Times New Roman"/>
          <w:sz w:val="22"/>
        </w:rPr>
        <w:t>Google, ``TPU v5p: Cloud Tensor Processing Units,'' TR, 2023.</w:t>
      </w:r>
    </w:p>
    <w:p>
      <w:pPr>
        <w:ind w:firstLine="357"/>
      </w:pPr>
      <w:r>
        <w:rPr>
          <w:rFonts w:ascii="Times New Roman" w:hAnsi="Times New Roman"/>
          <w:sz w:val="22"/>
        </w:rPr>
        <w:t>Tesla, ``Dojo Technology: A Scalable Architecture for AI Training,'' White Paper, 2022.</w:t>
      </w:r>
    </w:p>
    <w:p>
      <w:pPr>
        <w:ind w:firstLine="357"/>
      </w:pPr>
      <w:r>
        <w:rPr>
          <w:rFonts w:ascii="Times New Roman" w:hAnsi="Times New Roman"/>
          <w:sz w:val="22"/>
        </w:rPr>
        <w:t>Groq, ``TSP Architecture: Software-Scheduled Interconnect,'' Technical Brief, 2024.</w:t>
      </w:r>
    </w:p>
    <w:p>
      <w:pPr>
        <w:ind w:firstLine="357"/>
      </w:pPr>
      <w:r>
        <w:rPr>
          <w:rFonts w:ascii="Times New Roman" w:hAnsi="Times New Roman"/>
          <w:sz w:val="22"/>
        </w:rPr>
        <w:t>Graphcore, ``IPU Exchange: All-to-All Communication Fabric,'' TR MK3, 2023.</w:t>
      </w:r>
    </w:p>
    <w:p>
      <w:pPr>
        <w:ind w:firstLine="357"/>
      </w:pPr>
      <w:r>
        <w:rPr>
          <w:rFonts w:ascii="Times New Roman" w:hAnsi="Times New Roman"/>
          <w:sz w:val="22"/>
        </w:rPr>
        <w:t>Intel Corp., ``EMIB and Foveros: Advanced Packaging Technologies,'' Technology Brief, 2024.</w:t>
      </w:r>
    </w:p>
    <w:p>
      <w:pPr>
        <w:ind w:firstLine="357"/>
      </w:pPr>
      <w:r>
        <w:rPr>
          <w:rFonts w:ascii="Times New Roman" w:hAnsi="Times New Roman"/>
          <w:sz w:val="22"/>
        </w:rPr>
        <w:t>AMD, ``Infinity Fabric 4.0 Architecture,'' Technical Brief, 2024.</w:t>
      </w:r>
    </w:p>
    <w:p>
      <w:pPr>
        <w:ind w:firstLine="357"/>
      </w:pPr>
      <w:r>
        <w:rPr>
          <w:rFonts w:ascii="Times New Roman" w:hAnsi="Times New Roman"/>
          <w:sz w:val="22"/>
        </w:rPr>
        <w:t>NVIDIA, ``NVSwitch 4: Next-Generation GPU Interconnect,'' Technical Brief, 2024.</w:t>
      </w:r>
    </w:p>
    <w:p>
      <w:pPr>
        <w:ind w:firstLine="357"/>
      </w:pPr>
      <w:r>
        <w:rPr>
          <w:rFonts w:ascii="Times New Roman" w:hAnsi="Times New Roman"/>
          <w:sz w:val="22"/>
        </w:rPr>
        <w:t>H.T. Kung and C.E. Leiserson, ``Systolic Arrays (for VLSI),'' CMU-CS-79-103, 1978.</w:t>
      </w:r>
    </w:p>
    <w:p>
      <w:pPr>
        <w:ind w:firstLine="357"/>
      </w:pPr>
      <w:r>
        <w:rPr>
          <w:rFonts w:ascii="Times New Roman" w:hAnsi="Times New Roman"/>
          <w:sz w:val="22"/>
        </w:rPr>
        <w:t>MPI Forum, ``MPI: A Message-Passing Interface Standard, Version 4.0,'' 2021.</w:t>
      </w:r>
    </w:p>
    <w:p>
      <w:pPr>
        <w:ind w:firstLine="357"/>
      </w:pPr>
      <w:r>
        <w:rPr>
          <w:rFonts w:ascii="Times New Roman" w:hAnsi="Times New Roman"/>
          <w:sz w:val="22"/>
        </w:rPr>
        <w:t>Top500, ``TOP500 Supercomputer List,'' June 2025.</w:t>
      </w:r>
    </w:p>
    <w:p>
      <w:pPr>
        <w:ind w:firstLine="357"/>
      </w:pPr>
      <w:r>
        <w:rPr>
          <w:rFonts w:ascii="Times New Roman" w:hAnsi="Times New Roman"/>
          <w:sz w:val="22"/>
        </w:rPr>
        <w:t>J. Fowers et al., ``A Configurable Cloud-Scale DNN Processor for Real-Time AI,'' Proc. ISCA, pp. 1–14, 2018.</w:t>
      </w:r>
    </w:p>
    <w:p>
      <w:pPr>
        <w:ind w:firstLine="357"/>
      </w:pPr>
      <w:r>
        <w:rPr>
          <w:rFonts w:ascii="Times New Roman" w:hAnsi="Times New Roman"/>
          <w:sz w:val="22"/>
        </w:rPr>
        <w:t>``High Precision in Analog In-Memory Computing,'' Nat. Rev. Elec. Eng., Jan. 2026.</w:t>
      </w:r>
    </w:p>
    <w:p>
      <w:pPr>
        <w:ind w:firstLine="357"/>
      </w:pPr>
      <w:r>
        <w:rPr>
          <w:rFonts w:ascii="Times New Roman" w:hAnsi="Times New Roman"/>
          <w:sz w:val="22"/>
        </w:rPr>
        <w:t>R.H. Dennard et al., ``Design of Ion-Implanted MOSFETs,'' IEEE JSSC, vol. 9, no. 5, pp. 256–268, 1974.</w:t>
      </w:r>
    </w:p>
    <w:p>
      <w:pPr>
        <w:ind w:firstLine="357"/>
      </w:pPr>
      <w:r>
        <w:rPr>
          <w:rFonts w:ascii="Times New Roman" w:hAnsi="Times New Roman"/>
          <w:sz w:val="22"/>
        </w:rPr>
        <w:t>H. Esmaeilzadeh et al., ``Dark Silicon and the End of Multicore Scaling,'' Proc. ISCA, pp. 365–376, 2011.</w:t>
      </w:r>
    </w:p>
    <w:p>
      <w:pPr>
        <w:ind w:firstLine="357"/>
      </w:pPr>
      <w:r>
        <w:rPr>
          <w:rFonts w:ascii="Times New Roman" w:hAnsi="Times New Roman"/>
          <w:sz w:val="22"/>
        </w:rPr>
        <w:t>C.E. Shannon, ``A Mathematical Theory of Communication,'' BSTJ, vol. 27, pp. 379–423, 1948.</w:t>
      </w:r>
    </w:p>
    <w:p>
      <w:pPr>
        <w:ind w:firstLine="357"/>
      </w:pPr>
      <w:r>
        <w:rPr>
          <w:rFonts w:ascii="Times New Roman" w:hAnsi="Times New Roman"/>
          <w:sz w:val="22"/>
        </w:rPr>
        <w:t>R. Landauer, ``Irreversibility and Heat Generation,'' IBM J. R&amp;D, vol. 5, no. 3, pp. 183–191, 1961.</w:t>
      </w:r>
    </w:p>
    <w:p>
      <w:pPr>
        <w:ind w:firstLine="357"/>
      </w:pPr>
      <w:r>
        <w:rPr>
          <w:rFonts w:ascii="Times New Roman" w:hAnsi="Times New Roman"/>
          <w:sz w:val="22"/>
        </w:rPr>
        <w:t>A. B'erut et al., ``Experimental Verification of Landauer's Principle,'' Nature, vol. 483, pp. 187–189, 2012.</w:t>
      </w:r>
    </w:p>
    <w:p>
      <w:pPr>
        <w:ind w:firstLine="357"/>
      </w:pPr>
      <w:r>
        <w:rPr>
          <w:rFonts w:ascii="Times New Roman" w:hAnsi="Times New Roman"/>
          <w:sz w:val="22"/>
        </w:rPr>
        <w:t>W.A. Wulf and S.A. McKee, ``Hitting the Memory Wall,'' ACM SIGARCH CAN, vol. 23, no. 1, pp. 20–24, 1995.</w:t>
      </w:r>
    </w:p>
    <w:p>
      <w:pPr>
        <w:ind w:firstLine="357"/>
      </w:pPr>
      <w:r>
        <w:rPr>
          <w:rFonts w:ascii="Times New Roman" w:hAnsi="Times New Roman"/>
          <w:sz w:val="22"/>
        </w:rPr>
        <w:t>A. Parashar et al., ``MAERI: Reconfigurable DNN Interconnects,'' Proc. ASPLOS, 2018.</w:t>
      </w:r>
    </w:p>
    <w:p>
      <w:pPr>
        <w:ind w:firstLine="357"/>
      </w:pPr>
      <w:r>
        <w:rPr>
          <w:rFonts w:ascii="Times New Roman" w:hAnsi="Times New Roman"/>
          <w:sz w:val="22"/>
        </w:rPr>
        <w:t>AMD/Xilinx, ``Versal ACAP Programmable NoC,'' PG313, 2023.</w:t>
      </w:r>
    </w:p>
    <w:p>
      <w:pPr>
        <w:ind w:firstLine="357"/>
      </w:pPr>
      <w:r>
        <w:rPr>
          <w:rFonts w:ascii="Times New Roman" w:hAnsi="Times New Roman"/>
          <w:sz w:val="22"/>
        </w:rPr>
        <w:t>Cerebras Systems, ``Wafer-Scale Deep Learning: CS-3,'' White Paper, 2023.</w:t>
      </w:r>
    </w:p>
    <w:p>
      <w:pPr>
        <w:ind w:firstLine="357"/>
      </w:pPr>
      <w:r>
        <w:rPr>
          <w:rFonts w:ascii="Times New Roman" w:hAnsi="Times New Roman"/>
          <w:sz w:val="22"/>
        </w:rPr>
        <w:t>IBM Research, ``NorthPole: Neural Inference at the Edge,'' Sep. 2024.</w:t>
      </w:r>
    </w:p>
    <w:p>
      <w:pPr>
        <w:ind w:firstLine="357"/>
      </w:pPr>
      <w:r>
        <w:rPr>
          <w:rFonts w:ascii="Times New Roman" w:hAnsi="Times New Roman"/>
          <w:sz w:val="22"/>
        </w:rPr>
        <w:t>A.-L. Barab'asi and R. Albert, ``Emergence of Scaling in Random Networks,'' Science, vol. 286, pp. 509–512, 1999.</w:t>
      </w:r>
    </w:p>
    <w:p>
      <w:pPr>
        <w:ind w:firstLine="357"/>
      </w:pPr>
      <w:r>
        <w:rPr>
          <w:rFonts w:ascii="Times New Roman" w:hAnsi="Times New Roman"/>
          <w:sz w:val="22"/>
        </w:rPr>
        <w:t>A.C.-C. Yao, ``Complexity of Distributive Computing,'' Proc. STOC, pp. 209–213, 1979.</w:t>
      </w:r>
    </w:p>
    <w:p>
      <w:pPr>
        <w:ind w:firstLine="357"/>
      </w:pPr>
      <w:r>
        <w:rPr>
          <w:rFonts w:ascii="Times New Roman" w:hAnsi="Times New Roman"/>
          <w:sz w:val="22"/>
        </w:rPr>
        <w:t>R.D. Blumofe and C.E. Leiserson, ``Work Stealing,'' J. ACM, vol. 46, no. 5, pp. 720–748, 1999.</w:t>
      </w:r>
    </w:p>
    <w:p>
      <w:pPr>
        <w:ind w:firstLine="357"/>
      </w:pPr>
      <w:r>
        <w:rPr>
          <w:rFonts w:ascii="Times New Roman" w:hAnsi="Times New Roman"/>
          <w:sz w:val="22"/>
        </w:rPr>
        <w:t>H.T. Kung, ``Why Systolic Architectures?'' IEEE Computer, vol. 15, no. 1, pp. 37–46, 1982.</w:t>
      </w:r>
    </w:p>
    <w:p>
      <w:pPr>
        <w:ind w:firstLine="357"/>
      </w:pPr>
      <w:r>
        <w:rPr>
          <w:rFonts w:ascii="Times New Roman" w:hAnsi="Times New Roman"/>
          <w:sz w:val="22"/>
        </w:rPr>
        <w:t>Arvind and R.S. Nikhil, ``Tagged-Token Dataflow Architecture,'' IEEE Trans. Computers, vol. 39, no. 3, pp. 300–318, 1990.</w:t>
      </w:r>
    </w:p>
    <w:p>
      <w:pPr>
        <w:ind w:firstLine="357"/>
      </w:pPr>
      <w:r>
        <w:rPr>
          <w:rFonts w:ascii="Times New Roman" w:hAnsi="Times New Roman"/>
          <w:sz w:val="22"/>
        </w:rPr>
        <w:t>T. Chen et al., ``DianNao,'' Proc. ASPLOS, pp. 269–284, 2014.</w:t>
      </w:r>
    </w:p>
    <w:p>
      <w:pPr>
        <w:ind w:firstLine="357"/>
      </w:pPr>
      <w:r>
        <w:rPr>
          <w:rFonts w:ascii="Times New Roman" w:hAnsi="Times New Roman"/>
          <w:sz w:val="22"/>
        </w:rPr>
        <w:t>Z. Du et al., ``ShiDianNao,'' Proc. ISCA, pp. 92–104, 2015.</w:t>
      </w:r>
    </w:p>
    <w:p>
      <w:pPr>
        <w:ind w:firstLine="357"/>
      </w:pPr>
      <w:r>
        <w:rPr>
          <w:rFonts w:ascii="Times New Roman" w:hAnsi="Times New Roman"/>
          <w:sz w:val="22"/>
        </w:rPr>
        <w:t>V. Sze et al., ``Efficient Processing of DNNs: A Tutorial,'' Proc. IEEE, vol. 105, no. 12, pp. 2295–2329, 2017.</w:t>
      </w:r>
    </w:p>
    <w:p>
      <w:pPr>
        <w:ind w:firstLine="357"/>
      </w:pPr>
      <w:r>
        <w:rPr>
          <w:rFonts w:ascii="Times New Roman" w:hAnsi="Times New Roman"/>
          <w:sz w:val="22"/>
        </w:rPr>
        <w:t>N.P. Jouppi et al., ``Ten Lessons from Three Generations of TPUs,'' Proc. ISCA, 2021.</w:t>
      </w:r>
    </w:p>
    <w:p>
      <w:pPr>
        <w:ind w:firstLine="357"/>
      </w:pPr>
      <w:r>
        <w:rPr>
          <w:rFonts w:ascii="Times New Roman" w:hAnsi="Times New Roman"/>
          <w:sz w:val="22"/>
        </w:rPr>
        <w:t>K. He et al., ``Deep Residual Learning,'' Proc. CVPR, pp. 770–778, 2016.</w:t>
      </w:r>
    </w:p>
    <w:p>
      <w:pPr>
        <w:ind w:firstLine="357"/>
      </w:pPr>
      <w:r>
        <w:rPr>
          <w:rFonts w:ascii="Times New Roman" w:hAnsi="Times New Roman"/>
          <w:sz w:val="22"/>
        </w:rPr>
        <w:t>J. Devlin et al., ``BERT,'' Proc. NAACL, pp. 4171–4186, 2019.</w:t>
      </w:r>
    </w:p>
    <w:p>
      <w:pPr>
        <w:ind w:firstLine="357"/>
      </w:pPr>
      <w:r>
        <w:rPr>
          <w:rFonts w:ascii="Times New Roman" w:hAnsi="Times New Roman"/>
          <w:sz w:val="22"/>
        </w:rPr>
        <w:t>A. Vaswani et al., ``Attention Is All You Need,'' Proc. NeurIPS, pp. 5998–6008, 2017.</w:t>
      </w:r>
    </w:p>
    <w:p>
      <w:pPr>
        <w:ind w:firstLine="357"/>
      </w:pPr>
      <w:r>
        <w:rPr>
          <w:rFonts w:ascii="Times New Roman" w:hAnsi="Times New Roman"/>
          <w:sz w:val="22"/>
        </w:rPr>
        <w:t>M.B. Taylor, ``Is Dark Silicon Useful?'' Proc. DAC, pp. 1131–1136, 2012.</w:t>
      </w:r>
    </w:p>
    <w:p>
      <w:pPr>
        <w:ind w:firstLine="357"/>
      </w:pPr>
      <w:r>
        <w:rPr>
          <w:rFonts w:ascii="Times New Roman" w:hAnsi="Times New Roman"/>
          <w:sz w:val="22"/>
        </w:rPr>
        <w:t>G. Venkatesh et al., ``Conservation Cores,'' Proc. ASPLOS, pp. 205–218, 2010.</w:t>
      </w:r>
    </w:p>
    <w:p>
      <w:pPr>
        <w:ind w:firstLine="357"/>
      </w:pPr>
      <w:r>
        <w:rPr>
          <w:rFonts w:ascii="Times New Roman" w:hAnsi="Times New Roman"/>
          <w:sz w:val="22"/>
        </w:rPr>
        <w:t>Arteris Inc., ``NoC Interconnect Fundamentals,'' 2023.</w:t>
      </w:r>
    </w:p>
    <w:p>
      <w:pPr>
        <w:ind w:firstLine="357"/>
      </w:pPr>
      <w:r>
        <w:rPr>
          <w:rFonts w:ascii="Times New Roman" w:hAnsi="Times New Roman"/>
          <w:sz w:val="22"/>
        </w:rPr>
        <w:t>IEEE 754-2019, ``Floating-Point Arithmetic Standard.''</w:t>
      </w:r>
    </w:p>
    <w:p>
      <w:pPr>
        <w:ind w:firstLine="357"/>
      </w:pPr>
      <w:r>
        <w:rPr>
          <w:rFonts w:ascii="Times New Roman" w:hAnsi="Times New Roman"/>
          <w:sz w:val="22"/>
        </w:rPr>
        <w:t>A.V. Aho et al., Compilers: Principles, Techniques, and Tools, 2nd Ed., 2006.</w:t>
      </w:r>
    </w:p>
    <w:p>
      <w:pPr>
        <w:ind w:firstLine="357"/>
      </w:pPr>
      <w:r>
        <w:rPr>
          <w:rFonts w:ascii="Times New Roman" w:hAnsi="Times New Roman"/>
          <w:sz w:val="22"/>
        </w:rPr>
        <w:t>``Liquid State Machines: A Tutorial,'' Proc. IEEE, vol. 105, no. 12, pp. 2295–2329, 2017.</w:t>
      </w:r>
    </w:p>
    <w:p>
      <w:pPr>
        <w:ind w:firstLine="357"/>
      </w:pPr>
      <w:r>
        <w:rPr>
          <w:rFonts w:ascii="Times New Roman" w:hAnsi="Times New Roman"/>
          <w:sz w:val="22"/>
        </w:rPr>
        <w:t>``FPGA vs CGRA for Deep Learning,'' 2024.</w:t>
      </w:r>
    </w:p>
    <w:p>
      <w:pPr>
        <w:ind w:firstLine="357"/>
      </w:pPr>
      <w:r>
        <w:rPr>
          <w:rFonts w:ascii="Times New Roman" w:hAnsi="Times New Roman"/>
          <w:sz w:val="22"/>
        </w:rPr>
        <w:t>MLPerf, ``MLPerf Inference v4.0 Results,'' 2024.</w:t>
      </w:r>
    </w:p>
    <w:p>
      <w:pPr>
        <w:ind w:firstLine="357"/>
      </w:pPr>
      <w:r>
        <w:rPr>
          <w:rFonts w:ascii="Times New Roman" w:hAnsi="Times New Roman"/>
          <w:sz w:val="22"/>
        </w:rPr>
        <w:t>HPCG, ``High Performance Conjugate Gradients Benchmark.''</w:t>
      </w:r>
    </w:p>
    <w:p>
      <w:pPr>
        <w:ind w:firstLine="357"/>
      </w:pPr>
      <w:r>
        <w:rPr>
          <w:rFonts w:ascii="Times New Roman" w:hAnsi="Times New Roman"/>
          <w:sz w:val="22"/>
        </w:rPr>
        <w:t>Graph500, ``Graph500 Benchmark.''</w:t>
      </w:r>
    </w:p>
    <w:p>
      <w:pPr>
        <w:ind w:firstLine="357"/>
      </w:pPr>
      <w:r>
        <w:rPr>
          <w:rFonts w:ascii="Times New Roman" w:hAnsi="Times New Roman"/>
          <w:sz w:val="22"/>
        </w:rPr>
        <w:t>G. Tononi, ``Information Integration Theory of Consciousness,'' BMC Neurosci., vol. 5, no. 42, 2004.</w:t>
      </w:r>
    </w:p>
    <w:p>
      <w:pPr>
        <w:ind w:firstLine="357"/>
      </w:pPr>
      <w:r>
        <w:rPr>
          <w:rFonts w:ascii="Times New Roman" w:hAnsi="Times New Roman"/>
          <w:sz w:val="22"/>
        </w:rPr>
        <w:t>MIT Lincoln Lab, ``Wafer-Scale Reconfigurable Logic Fabric,'' TR, 2020.</w:t>
      </w:r>
    </w:p>
    <w:p>
      <w:pPr>
        <w:ind w:firstLine="357"/>
      </w:pPr>
      <w:r>
        <w:rPr>
          <w:rFonts w:ascii="Times New Roman" w:hAnsi="Times New Roman"/>
          <w:sz w:val="22"/>
        </w:rPr>
        <w:t>SemiAnalysis, ``DRAM Scaling: The End of the Road?'' 2024.</w:t>
      </w:r>
    </w:p>
    <w:p>
      <w:pPr>
        <w:ind w:firstLine="357"/>
      </w:pPr>
      <w:r>
        <w:rPr>
          <w:rFonts w:ascii="Times New Roman" w:hAnsi="Times New Roman"/>
          <w:sz w:val="22"/>
        </w:rPr>
        <w:t>IBM Research, ``Energy Breakdown in AI Hardware,'' TR RC-25987, 2025.</w:t>
      </w:r>
    </w:p>
    <w:p>
      <w:pPr>
        <w:pStyle w:val="Heading1"/>
      </w:pPr>
      <w:r>
        <w:rPr>
          <w:rFonts w:ascii="Times New Roman" w:hAnsi="Times New Roman"/>
        </w:rPr>
        <w:t>References</w:t>
      </w:r>
    </w:p>
    <w:p>
      <w:r>
        <w:rPr>
          <w:rFonts w:ascii="Times New Roman" w:hAnsi="Times New Roman"/>
          <w:sz w:val="16"/>
        </w:rPr>
        <w:t>[1] M. Horowitz, ``Computing's Energy Problem (and what we can do about it),'' ISSCC 2014 Keynote, Feb. 2014.</w:t>
      </w:r>
    </w:p>
    <w:p>
      <w:r>
        <w:rPr>
          <w:rFonts w:ascii="Times New Roman" w:hAnsi="Times New Roman"/>
          <w:sz w:val="16"/>
        </w:rPr>
        <w:t>[2] B. Dally, ``Hardware for Deep Learning,'' Hot Chips 2023 Keynote, Aug. 2023.</w:t>
      </w:r>
    </w:p>
    <w:p>
      <w:r>
        <w:rPr>
          <w:rFonts w:ascii="Times New Roman" w:hAnsi="Times New Roman"/>
          <w:sz w:val="16"/>
        </w:rPr>
        <w:t>[3] NVIDIA, ``NVLink-C2C: Coherent Interconnect for Grace Hopper,'' Technical Brief, 2025.</w:t>
      </w:r>
    </w:p>
    <w:p>
      <w:r>
        <w:rPr>
          <w:rFonts w:ascii="Times New Roman" w:hAnsi="Times New Roman"/>
          <w:sz w:val="16"/>
        </w:rPr>
        <w:t>[4] SambaNova Systems, ``Introducing the SN50 RDU: Reconfigurable Dataflow Architecture,'' Feb. 2026.</w:t>
      </w:r>
    </w:p>
    <w:p>
      <w:r>
        <w:rPr>
          <w:rFonts w:ascii="Times New Roman" w:hAnsi="Times New Roman"/>
          <w:sz w:val="16"/>
        </w:rPr>
        <w:t>[5] Lightmatter, ``Passage L200: Photonic Interconnect for AI Clusters,'' Product Brief, Mar. 2025.</w:t>
      </w:r>
    </w:p>
    <w:p>
      <w:r>
        <w:rPr>
          <w:rFonts w:ascii="Times New Roman" w:hAnsi="Times New Roman"/>
          <w:sz w:val="16"/>
        </w:rPr>
        <w:t>[6] Intel Corp., ``Intel 64 and IA-32 Architectures SDM,'' Vol. 2A–2D, 2023.</w:t>
      </w:r>
    </w:p>
    <w:p>
      <w:r>
        <w:rPr>
          <w:rFonts w:ascii="Times New Roman" w:hAnsi="Times New Roman"/>
          <w:sz w:val="16"/>
        </w:rPr>
        <w:t>[7] Arm Ltd., ``ARMv9-A Architecture Reference Manual,'' Issue C, 2023.</w:t>
      </w:r>
    </w:p>
    <w:p>
      <w:r>
        <w:rPr>
          <w:rFonts w:ascii="Times New Roman" w:hAnsi="Times New Roman"/>
          <w:sz w:val="16"/>
        </w:rPr>
        <w:t>[8] RISC-V Intl., ``RV64GC ISA Manual,'' v2.1, 2023.</w:t>
      </w:r>
    </w:p>
    <w:p>
      <w:r>
        <w:rPr>
          <w:rFonts w:ascii="Times New Roman" w:hAnsi="Times New Roman"/>
          <w:sz w:val="16"/>
        </w:rPr>
        <w:t>[9] NVIDIA, ``CUDA PTX ISA 8.4,'' 2024.</w:t>
      </w:r>
    </w:p>
    <w:p>
      <w:r>
        <w:rPr>
          <w:rFonts w:ascii="Times New Roman" w:hAnsi="Times New Roman"/>
          <w:sz w:val="16"/>
        </w:rPr>
        <w:t>[10] Qualcomm, ``Hexagon V73 DSP ISA Reference,'' 2023.</w:t>
      </w:r>
    </w:p>
    <w:p>
      <w:r>
        <w:rPr>
          <w:rFonts w:ascii="Times New Roman" w:hAnsi="Times New Roman"/>
          <w:sz w:val="16"/>
        </w:rPr>
        <w:t>[11] M.J. Page et al., ``The PRISMA 2020 Statement,'' BMJ, vol. 372, n71, 2021.</w:t>
      </w:r>
    </w:p>
    <w:p>
      <w:r>
        <w:rPr>
          <w:rFonts w:ascii="Times New Roman" w:hAnsi="Times New Roman"/>
          <w:sz w:val="16"/>
        </w:rPr>
        <w:t>[12] Google, ``TPU v5p: Cloud Tensor Processing Units,'' TR, 2023.</w:t>
      </w:r>
    </w:p>
    <w:p>
      <w:r>
        <w:rPr>
          <w:rFonts w:ascii="Times New Roman" w:hAnsi="Times New Roman"/>
          <w:sz w:val="16"/>
        </w:rPr>
        <w:t>[13] Tesla, ``Dojo Technology: A Scalable Architecture for AI Training,'' White Paper, 2022.</w:t>
      </w:r>
    </w:p>
    <w:p>
      <w:r>
        <w:rPr>
          <w:rFonts w:ascii="Times New Roman" w:hAnsi="Times New Roman"/>
          <w:sz w:val="16"/>
        </w:rPr>
        <w:t>[14] Groq, ``TSP Architecture: Software-Scheduled Interconnect,'' Technical Brief, 2024.</w:t>
      </w:r>
    </w:p>
    <w:p>
      <w:r>
        <w:rPr>
          <w:rFonts w:ascii="Times New Roman" w:hAnsi="Times New Roman"/>
          <w:sz w:val="16"/>
        </w:rPr>
        <w:t>[15] Graphcore, ``IPU Exchange: All-to-All Communication Fabric,'' TR MK3, 2023.</w:t>
      </w:r>
    </w:p>
    <w:p>
      <w:r>
        <w:rPr>
          <w:rFonts w:ascii="Times New Roman" w:hAnsi="Times New Roman"/>
          <w:sz w:val="16"/>
        </w:rPr>
        <w:t>[16] Intel Corp., ``EMIB and Foveros: Advanced Packaging Technologies,'' Technology Brief, 2024.</w:t>
      </w:r>
    </w:p>
    <w:p>
      <w:r>
        <w:rPr>
          <w:rFonts w:ascii="Times New Roman" w:hAnsi="Times New Roman"/>
          <w:sz w:val="16"/>
        </w:rPr>
        <w:t>[17] AMD, ``Infinity Fabric 4.0 Architecture,'' Technical Brief, 2024.</w:t>
      </w:r>
    </w:p>
    <w:p>
      <w:r>
        <w:rPr>
          <w:rFonts w:ascii="Times New Roman" w:hAnsi="Times New Roman"/>
          <w:sz w:val="16"/>
        </w:rPr>
        <w:t>[18] NVIDIA, ``NVSwitch 4: Next-Generation GPU Interconnect,'' Technical Brief, 2024.</w:t>
      </w:r>
    </w:p>
    <w:p>
      <w:r>
        <w:rPr>
          <w:rFonts w:ascii="Times New Roman" w:hAnsi="Times New Roman"/>
          <w:sz w:val="16"/>
        </w:rPr>
        <w:t>[19] H.T. Kung and C.E. Leiserson, ``Systolic Arrays (for VLSI),'' CMU-CS-79-103, 1978.</w:t>
      </w:r>
    </w:p>
    <w:p>
      <w:r>
        <w:rPr>
          <w:rFonts w:ascii="Times New Roman" w:hAnsi="Times New Roman"/>
          <w:sz w:val="16"/>
        </w:rPr>
        <w:t>[20] MPI Forum, ``MPI: A Message-Passing Interface Standard, Version 4.0,'' 2021.</w:t>
      </w:r>
    </w:p>
    <w:p>
      <w:r>
        <w:rPr>
          <w:rFonts w:ascii="Times New Roman" w:hAnsi="Times New Roman"/>
          <w:sz w:val="16"/>
        </w:rPr>
        <w:t>[21] Top500, ``TOP500 Supercomputer List,'' June 2025.</w:t>
      </w:r>
    </w:p>
    <w:p>
      <w:r>
        <w:rPr>
          <w:rFonts w:ascii="Times New Roman" w:hAnsi="Times New Roman"/>
          <w:sz w:val="16"/>
        </w:rPr>
        <w:t>[22] J. Fowers et al., ``A Configurable Cloud-Scale DNN Processor for Real-Time AI,'' Proc. ISCA, pp. 1–14, 2018.</w:t>
      </w:r>
    </w:p>
    <w:p>
      <w:r>
        <w:rPr>
          <w:rFonts w:ascii="Times New Roman" w:hAnsi="Times New Roman"/>
          <w:sz w:val="16"/>
        </w:rPr>
        <w:t>[23] ``High Precision in Analog In-Memory Computing,'' Nat. Rev. Elec. Eng., Jan. 2026.</w:t>
      </w:r>
    </w:p>
    <w:p>
      <w:r>
        <w:rPr>
          <w:rFonts w:ascii="Times New Roman" w:hAnsi="Times New Roman"/>
          <w:sz w:val="16"/>
        </w:rPr>
        <w:t>[24] R.H. Dennard et al., ``Design of Ion-Implanted MOSFETs,'' IEEE JSSC, vol. 9, no. 5, pp. 256–268, 1974.</w:t>
      </w:r>
    </w:p>
    <w:p>
      <w:r>
        <w:rPr>
          <w:rFonts w:ascii="Times New Roman" w:hAnsi="Times New Roman"/>
          <w:sz w:val="16"/>
        </w:rPr>
        <w:t>[25] H. Esmaeilzadeh et al., ``Dark Silicon and the End of Multicore Scaling,'' Proc. ISCA, pp. 365–376, 2011.</w:t>
      </w:r>
    </w:p>
    <w:p>
      <w:r>
        <w:rPr>
          <w:rFonts w:ascii="Times New Roman" w:hAnsi="Times New Roman"/>
          <w:sz w:val="16"/>
        </w:rPr>
        <w:t>[26] C.E. Shannon, ``A Mathematical Theory of Communication,'' BSTJ, vol. 27, pp. 379–423, 1948.</w:t>
      </w:r>
    </w:p>
    <w:p>
      <w:r>
        <w:rPr>
          <w:rFonts w:ascii="Times New Roman" w:hAnsi="Times New Roman"/>
          <w:sz w:val="16"/>
        </w:rPr>
        <w:t>[27] R. Landauer, ``Irreversibility and Heat Generation,'' IBM J. R&amp;D, vol. 5, no. 3, pp. 183–191, 1961.</w:t>
      </w:r>
    </w:p>
    <w:p>
      <w:r>
        <w:rPr>
          <w:rFonts w:ascii="Times New Roman" w:hAnsi="Times New Roman"/>
          <w:sz w:val="16"/>
        </w:rPr>
        <w:t>[28] A. B'erut et al., ``Experimental Verification of Landauer's Principle,'' Nature, vol. 483, pp. 187–189, 2012.</w:t>
      </w:r>
    </w:p>
    <w:p>
      <w:r>
        <w:rPr>
          <w:rFonts w:ascii="Times New Roman" w:hAnsi="Times New Roman"/>
          <w:sz w:val="16"/>
        </w:rPr>
        <w:t>[29] W.A. Wulf and S.A. McKee, ``Hitting the Memory Wall,'' ACM SIGARCH CAN, vol. 23, no. 1, pp. 20–24, 1995.</w:t>
      </w:r>
    </w:p>
    <w:p>
      <w:r>
        <w:rPr>
          <w:rFonts w:ascii="Times New Roman" w:hAnsi="Times New Roman"/>
          <w:sz w:val="16"/>
        </w:rPr>
        <w:t>[30] A. Parashar et al., ``MAERI: Reconfigurable DNN Interconnects,'' Proc. ASPLOS, 2018.</w:t>
      </w:r>
    </w:p>
    <w:p>
      <w:r>
        <w:rPr>
          <w:rFonts w:ascii="Times New Roman" w:hAnsi="Times New Roman"/>
          <w:sz w:val="16"/>
        </w:rPr>
        <w:t>[31] AMD/Xilinx, ``Versal ACAP Programmable NoC,'' PG313, 2023.</w:t>
      </w:r>
    </w:p>
    <w:p>
      <w:r>
        <w:rPr>
          <w:rFonts w:ascii="Times New Roman" w:hAnsi="Times New Roman"/>
          <w:sz w:val="16"/>
        </w:rPr>
        <w:t>[32] Cerebras Systems, ``Wafer-Scale Deep Learning: CS-3,'' White Paper, 2023.</w:t>
      </w:r>
    </w:p>
    <w:p>
      <w:r>
        <w:rPr>
          <w:rFonts w:ascii="Times New Roman" w:hAnsi="Times New Roman"/>
          <w:sz w:val="16"/>
        </w:rPr>
        <w:t>[33] IBM Research, ``NorthPole: Neural Inference at the Edge,'' Sep. 2024.</w:t>
      </w:r>
    </w:p>
    <w:p>
      <w:r>
        <w:rPr>
          <w:rFonts w:ascii="Times New Roman" w:hAnsi="Times New Roman"/>
          <w:sz w:val="16"/>
        </w:rPr>
        <w:t>[34] A.-L. Barab'asi and R. Albert, ``Emergence of Scaling in Random Networks,'' Science, vol. 286, pp. 509–512, 1999.</w:t>
      </w:r>
    </w:p>
    <w:p>
      <w:r>
        <w:rPr>
          <w:rFonts w:ascii="Times New Roman" w:hAnsi="Times New Roman"/>
          <w:sz w:val="16"/>
        </w:rPr>
        <w:t>[35] A.C.-C. Yao, ``Complexity of Distributive Computing,'' Proc. STOC, pp. 209–213, 1979.</w:t>
      </w:r>
    </w:p>
    <w:p>
      <w:r>
        <w:rPr>
          <w:rFonts w:ascii="Times New Roman" w:hAnsi="Times New Roman"/>
          <w:sz w:val="16"/>
        </w:rPr>
        <w:t>[36] R.D. Blumofe and C.E. Leiserson, ``Work Stealing,'' J. ACM, vol. 46, no. 5, pp. 720–748, 1999.</w:t>
      </w:r>
    </w:p>
    <w:p>
      <w:r>
        <w:rPr>
          <w:rFonts w:ascii="Times New Roman" w:hAnsi="Times New Roman"/>
          <w:sz w:val="16"/>
        </w:rPr>
        <w:t>[37] H.T. Kung, ``Why Systolic Architectures?'' IEEE Computer, vol. 15, no. 1, pp. 37–46, 1982.</w:t>
      </w:r>
    </w:p>
    <w:p>
      <w:r>
        <w:rPr>
          <w:rFonts w:ascii="Times New Roman" w:hAnsi="Times New Roman"/>
          <w:sz w:val="16"/>
        </w:rPr>
        <w:t>[38] Arvind and R.S. Nikhil, ``Tagged-Token Dataflow Architecture,'' IEEE Trans. Computers, vol. 39, no. 3, pp. 300–318, 1990.</w:t>
      </w:r>
    </w:p>
    <w:p>
      <w:r>
        <w:rPr>
          <w:rFonts w:ascii="Times New Roman" w:hAnsi="Times New Roman"/>
          <w:sz w:val="16"/>
        </w:rPr>
        <w:t>[39] T. Chen et al., ``DianNao,'' Proc. ASPLOS, pp. 269–284, 2014.</w:t>
      </w:r>
    </w:p>
    <w:p>
      <w:r>
        <w:rPr>
          <w:rFonts w:ascii="Times New Roman" w:hAnsi="Times New Roman"/>
          <w:sz w:val="16"/>
        </w:rPr>
        <w:t>[40] Z. Du et al., ``ShiDianNao,'' Proc. ISCA, pp. 92–104, 2015.</w:t>
      </w:r>
    </w:p>
    <w:p>
      <w:r>
        <w:rPr>
          <w:rFonts w:ascii="Times New Roman" w:hAnsi="Times New Roman"/>
          <w:sz w:val="16"/>
        </w:rPr>
        <w:t>[41] V. Sze et al., ``Efficient Processing of DNNs: A Tutorial,'' Proc. IEEE, vol. 105, no. 12, pp. 2295–2329, 2017.</w:t>
      </w:r>
    </w:p>
    <w:p>
      <w:r>
        <w:rPr>
          <w:rFonts w:ascii="Times New Roman" w:hAnsi="Times New Roman"/>
          <w:sz w:val="16"/>
        </w:rPr>
        <w:t>[42] N.P. Jouppi et al., ``Ten Lessons from Three Generations of TPUs,'' Proc. ISCA, 2021.</w:t>
      </w:r>
    </w:p>
    <w:p>
      <w:r>
        <w:rPr>
          <w:rFonts w:ascii="Times New Roman" w:hAnsi="Times New Roman"/>
          <w:sz w:val="16"/>
        </w:rPr>
        <w:t>[43] K. He et al., ``Deep Residual Learning,'' Proc. CVPR, pp. 770–778, 2016.</w:t>
      </w:r>
    </w:p>
    <w:p>
      <w:r>
        <w:rPr>
          <w:rFonts w:ascii="Times New Roman" w:hAnsi="Times New Roman"/>
          <w:sz w:val="16"/>
        </w:rPr>
        <w:t>[44] J. Devlin et al., ``BERT,'' Proc. NAACL, pp. 4171–4186, 2019.</w:t>
      </w:r>
    </w:p>
    <w:p>
      <w:r>
        <w:rPr>
          <w:rFonts w:ascii="Times New Roman" w:hAnsi="Times New Roman"/>
          <w:sz w:val="16"/>
        </w:rPr>
        <w:t>[45] A. Vaswani et al., ``Attention Is All You Need,'' Proc. NeurIPS, pp. 5998–6008, 2017.</w:t>
      </w:r>
    </w:p>
    <w:p>
      <w:r>
        <w:rPr>
          <w:rFonts w:ascii="Times New Roman" w:hAnsi="Times New Roman"/>
          <w:sz w:val="16"/>
        </w:rPr>
        <w:t>[46] M.B. Taylor, ``Is Dark Silicon Useful?'' Proc. DAC, pp. 1131–1136, 2012.</w:t>
      </w:r>
    </w:p>
    <w:p>
      <w:r>
        <w:rPr>
          <w:rFonts w:ascii="Times New Roman" w:hAnsi="Times New Roman"/>
          <w:sz w:val="16"/>
        </w:rPr>
        <w:t>[47] G. Venkatesh et al., ``Conservation Cores,'' Proc. ASPLOS, pp. 205–218, 2010.</w:t>
      </w:r>
    </w:p>
    <w:p>
      <w:r>
        <w:rPr>
          <w:rFonts w:ascii="Times New Roman" w:hAnsi="Times New Roman"/>
          <w:sz w:val="16"/>
        </w:rPr>
        <w:t>[48] Arteris Inc., ``NoC Interconnect Fundamentals,'' 2023.</w:t>
      </w:r>
    </w:p>
    <w:p>
      <w:r>
        <w:rPr>
          <w:rFonts w:ascii="Times New Roman" w:hAnsi="Times New Roman"/>
          <w:sz w:val="16"/>
        </w:rPr>
        <w:t>[49] IEEE 754-2019, ``Floating-Point Arithmetic Standard.''</w:t>
      </w:r>
    </w:p>
    <w:p>
      <w:r>
        <w:rPr>
          <w:rFonts w:ascii="Times New Roman" w:hAnsi="Times New Roman"/>
          <w:sz w:val="16"/>
        </w:rPr>
        <w:t>[50] A.V. Aho et al., Compilers: Principles, Techniques, and Tools, 2nd Ed., 2006.</w:t>
      </w:r>
    </w:p>
    <w:p>
      <w:r>
        <w:rPr>
          <w:rFonts w:ascii="Times New Roman" w:hAnsi="Times New Roman"/>
          <w:sz w:val="16"/>
        </w:rPr>
        <w:t>[51] ``Liquid State Machines: A Tutorial,'' Proc. IEEE, vol. 105, no. 12, pp. 2295–2329, 2017.</w:t>
      </w:r>
    </w:p>
    <w:p>
      <w:r>
        <w:rPr>
          <w:rFonts w:ascii="Times New Roman" w:hAnsi="Times New Roman"/>
          <w:sz w:val="16"/>
        </w:rPr>
        <w:t>[52] ``FPGA vs CGRA for Deep Learning,'' 2024.</w:t>
      </w:r>
    </w:p>
    <w:p>
      <w:r>
        <w:rPr>
          <w:rFonts w:ascii="Times New Roman" w:hAnsi="Times New Roman"/>
          <w:sz w:val="16"/>
        </w:rPr>
        <w:t>[53] MLPerf, ``MLPerf Inference v4.0 Results,'' 2024.</w:t>
      </w:r>
    </w:p>
    <w:p>
      <w:r>
        <w:rPr>
          <w:rFonts w:ascii="Times New Roman" w:hAnsi="Times New Roman"/>
          <w:sz w:val="16"/>
        </w:rPr>
        <w:t>[54] HPCG, ``High Performance Conjugate Gradients Benchmark.''</w:t>
      </w:r>
    </w:p>
    <w:p>
      <w:r>
        <w:rPr>
          <w:rFonts w:ascii="Times New Roman" w:hAnsi="Times New Roman"/>
          <w:sz w:val="16"/>
        </w:rPr>
        <w:t>[55] Graph500, ``Graph500 Benchmark.''</w:t>
      </w:r>
    </w:p>
    <w:p>
      <w:r>
        <w:rPr>
          <w:rFonts w:ascii="Times New Roman" w:hAnsi="Times New Roman"/>
          <w:sz w:val="16"/>
        </w:rPr>
        <w:t>[56] G. Tononi, ``Information Integration Theory of Consciousness,'' BMC Neurosci., vol. 5, no. 42, 2004.</w:t>
      </w:r>
    </w:p>
    <w:p>
      <w:r>
        <w:rPr>
          <w:rFonts w:ascii="Times New Roman" w:hAnsi="Times New Roman"/>
          <w:sz w:val="16"/>
        </w:rPr>
        <w:t>[57] MIT Lincoln Lab, ``Wafer-Scale Reconfigurable Logic Fabric,'' TR, 2020.</w:t>
      </w:r>
    </w:p>
    <w:p>
      <w:r>
        <w:rPr>
          <w:rFonts w:ascii="Times New Roman" w:hAnsi="Times New Roman"/>
          <w:sz w:val="16"/>
        </w:rPr>
        <w:t>[58] SemiAnalysis, ``DRAM Scaling: The End of the Road?'' 2024.</w:t>
      </w:r>
    </w:p>
    <w:p>
      <w:r>
        <w:rPr>
          <w:rFonts w:ascii="Times New Roman" w:hAnsi="Times New Roman"/>
          <w:sz w:val="16"/>
        </w:rPr>
        <w:t>[59] IBM Research, ``Energy Breakdown in AI Hardware,'' TR RC-25987,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