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F8B7" w14:textId="3716C547" w:rsidR="00B83B18" w:rsidRPr="00B83B18" w:rsidRDefault="00B83B18" w:rsidP="00B83B18">
      <w:pPr>
        <w:widowControl/>
        <w:spacing w:before="300" w:after="600" w:line="240" w:lineRule="auto"/>
        <w:jc w:val="center"/>
        <w:outlineLvl w:val="0"/>
        <w:rPr>
          <w:rFonts w:ascii="微软雅黑" w:eastAsia="微软雅黑" w:hAnsi="微软雅黑" w:cs="宋体" w:hint="eastAsia"/>
          <w:b/>
          <w:bCs/>
          <w:color w:val="000000"/>
          <w:kern w:val="36"/>
          <w:sz w:val="56"/>
          <w:szCs w:val="56"/>
          <w14:ligatures w14:val="none"/>
        </w:rPr>
      </w:pPr>
      <w:r w:rsidRPr="00B83B18">
        <w:rPr>
          <w:rFonts w:ascii="微软雅黑" w:eastAsia="微软雅黑" w:hAnsi="微软雅黑" w:cs="宋体" w:hint="eastAsia"/>
          <w:b/>
          <w:bCs/>
          <w:color w:val="000000"/>
          <w:kern w:val="36"/>
          <w:sz w:val="56"/>
          <w:szCs w:val="56"/>
          <w14:ligatures w14:val="none"/>
        </w:rPr>
        <w:t>关于设立“脑同构晶上复杂网络涌现智能”重大项目群的建议</w:t>
      </w:r>
    </w:p>
    <w:p w14:paraId="55B84345" w14:textId="77777777" w:rsidR="00B83B18" w:rsidRPr="00B83B18" w:rsidRDefault="00B83B18" w:rsidP="00B83B18">
      <w:pPr>
        <w:widowControl/>
        <w:spacing w:after="225" w:line="240" w:lineRule="auto"/>
        <w:jc w:val="center"/>
        <w:rPr>
          <w:rFonts w:ascii="仿宋" w:eastAsia="仿宋" w:hAnsi="仿宋" w:cs="宋体" w:hint="eastAsia"/>
          <w:color w:val="000000"/>
          <w:kern w:val="0"/>
          <w:sz w:val="36"/>
          <w:szCs w:val="36"/>
          <w14:ligatures w14:val="none"/>
        </w:rPr>
      </w:pPr>
      <w:r w:rsidRPr="00B83B18">
        <w:rPr>
          <w:rFonts w:ascii="仿宋" w:eastAsia="仿宋" w:hAnsi="仿宋" w:cs="宋体" w:hint="eastAsia"/>
          <w:b/>
          <w:bCs/>
          <w:color w:val="000000"/>
          <w:kern w:val="0"/>
          <w:sz w:val="36"/>
          <w:szCs w:val="36"/>
          <w14:ligatures w14:val="none"/>
        </w:rPr>
        <w:t>呈报单位：</w:t>
      </w:r>
      <w:r w:rsidRPr="00B83B18">
        <w:rPr>
          <w:rFonts w:ascii="仿宋" w:eastAsia="仿宋" w:hAnsi="仿宋" w:cs="宋体" w:hint="eastAsia"/>
          <w:color w:val="000000"/>
          <w:kern w:val="0"/>
          <w:sz w:val="36"/>
          <w:szCs w:val="36"/>
          <w14:ligatures w14:val="none"/>
        </w:rPr>
        <w:t>国家自然科学基金委员会</w:t>
      </w:r>
    </w:p>
    <w:p w14:paraId="18F99026" w14:textId="77777777" w:rsidR="00B83B18" w:rsidRPr="00B83B18" w:rsidRDefault="00B83B18" w:rsidP="00B83B18">
      <w:pPr>
        <w:widowControl/>
        <w:spacing w:after="225" w:line="240" w:lineRule="auto"/>
        <w:jc w:val="center"/>
        <w:rPr>
          <w:rFonts w:ascii="仿宋" w:eastAsia="仿宋" w:hAnsi="仿宋" w:cs="宋体" w:hint="eastAsia"/>
          <w:color w:val="000000"/>
          <w:kern w:val="0"/>
          <w:sz w:val="36"/>
          <w:szCs w:val="36"/>
          <w14:ligatures w14:val="none"/>
        </w:rPr>
      </w:pPr>
      <w:r w:rsidRPr="00B83B18">
        <w:rPr>
          <w:rFonts w:ascii="仿宋" w:eastAsia="仿宋" w:hAnsi="仿宋" w:cs="宋体" w:hint="eastAsia"/>
          <w:b/>
          <w:bCs/>
          <w:color w:val="000000"/>
          <w:kern w:val="0"/>
          <w:sz w:val="36"/>
          <w:szCs w:val="36"/>
          <w14:ligatures w14:val="none"/>
        </w:rPr>
        <w:t>建议人：</w:t>
      </w:r>
      <w:r w:rsidRPr="00B83B18">
        <w:rPr>
          <w:rFonts w:ascii="仿宋" w:eastAsia="仿宋" w:hAnsi="仿宋" w:cs="宋体" w:hint="eastAsia"/>
          <w:color w:val="000000"/>
          <w:kern w:val="0"/>
          <w:sz w:val="36"/>
          <w:szCs w:val="36"/>
          <w14:ligatures w14:val="none"/>
        </w:rPr>
        <w:t>邬江兴 中国工程院院士</w:t>
      </w:r>
    </w:p>
    <w:p w14:paraId="7B700A00" w14:textId="77777777" w:rsidR="00B83B18" w:rsidRPr="00B83B18" w:rsidRDefault="00B83B18" w:rsidP="00B83B18">
      <w:pPr>
        <w:widowControl/>
        <w:spacing w:after="225" w:line="240" w:lineRule="auto"/>
        <w:jc w:val="center"/>
        <w:rPr>
          <w:rFonts w:ascii="仿宋" w:eastAsia="仿宋" w:hAnsi="仿宋" w:cs="宋体" w:hint="eastAsia"/>
          <w:color w:val="000000"/>
          <w:kern w:val="0"/>
          <w:sz w:val="36"/>
          <w:szCs w:val="36"/>
          <w14:ligatures w14:val="none"/>
        </w:rPr>
      </w:pPr>
      <w:r w:rsidRPr="00B83B18">
        <w:rPr>
          <w:rFonts w:ascii="仿宋" w:eastAsia="仿宋" w:hAnsi="仿宋" w:cs="宋体" w:hint="eastAsia"/>
          <w:b/>
          <w:bCs/>
          <w:color w:val="000000"/>
          <w:kern w:val="0"/>
          <w:sz w:val="36"/>
          <w:szCs w:val="36"/>
          <w14:ligatures w14:val="none"/>
        </w:rPr>
        <w:t>日期：</w:t>
      </w:r>
      <w:r w:rsidRPr="00B83B18">
        <w:rPr>
          <w:rFonts w:ascii="仿宋" w:eastAsia="仿宋" w:hAnsi="仿宋" w:cs="宋体" w:hint="eastAsia"/>
          <w:color w:val="000000"/>
          <w:kern w:val="0"/>
          <w:sz w:val="36"/>
          <w:szCs w:val="36"/>
          <w14:ligatures w14:val="none"/>
        </w:rPr>
        <w:t>2026年3月8日</w:t>
      </w:r>
    </w:p>
    <w:p w14:paraId="143C9970" w14:textId="77777777" w:rsidR="00B83B18" w:rsidRPr="00B83B18" w:rsidRDefault="00B83B18" w:rsidP="00B83B18">
      <w:pPr>
        <w:widowControl/>
        <w:spacing w:before="450" w:after="300" w:line="240" w:lineRule="auto"/>
        <w:outlineLvl w:val="1"/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</w:pPr>
      <w:r w:rsidRPr="00B83B18"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  <w:t>一、背景与形势</w:t>
      </w:r>
    </w:p>
    <w:p w14:paraId="73D725D7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当前，全球人工智能（AI）正处于范式转型的关键历史节点。以GPT系列为代表的大模型虽然取得了显著成就，但其边际效益递减效应日益凸显。GPT-5的训练成本已从GPT-4的1亿美元暴涨至100亿美元，全球AI算力需求预计在2026年将达到100GW，相当于30个三峡电站的年发电量。这种依赖算力堆砌的“大力出奇迹”模式，在能耗、成本和可持续性方面正面临严峻挑战。</w:t>
      </w:r>
    </w:p>
    <w:p w14:paraId="1FD3A63D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面对这一形势，习近平总书记多次做出“科技自立自强”的重要指示，党的二十届三中全会明确提出要“加快形成新质生产力”。国家自然科学基金委员会在“十四五”规划第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lastRenderedPageBreak/>
        <w:t>59条中特别部署了“类脑模型与高性能视觉感知研究”，并在2026年“脑科学与类脑研究”重大项目指南中强调了“跨尺度脑网络协同机制”。这些政策导向为我们在AI基础理论与工程实现的源头创新指明了方向。</w:t>
      </w:r>
    </w:p>
    <w:p w14:paraId="159D32D4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国际竞争态势异常激烈。美国DARPA已启动预算高达30亿美元的介观神经网络计划，欧盟人类脑计划（HBP）投入12亿欧元用于介观尺度仿真，美国Cerebras公司推出的WSE-3晶圆级芯片（面积46,225mm²，集成90万AI核心）更是证明了晶圆级集成的可行性与威力。在此背景下，我国必须依托在软件定义晶上系统（SDSoW）、拟态计算架构以及多模态网络方面的先发优势，走一条“网络为中心的智能涌现”差异化路线。</w:t>
      </w:r>
    </w:p>
    <w:p w14:paraId="4AB39920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综合研判，</w:t>
      </w:r>
      <w:r w:rsidRPr="00B83B18">
        <w:rPr>
          <w:rFonts w:ascii="楷体" w:eastAsia="楷体" w:hAnsi="楷体" w:cs="宋体" w:hint="eastAsia"/>
          <w:b/>
          <w:bCs/>
          <w:color w:val="000000"/>
          <w:kern w:val="0"/>
          <w:sz w:val="32"/>
          <w:szCs w:val="32"/>
          <w14:ligatures w14:val="none"/>
        </w:rPr>
        <w:t>2026年至2027年是全球AI范式从单纯算力堆砌向结构化智能涌现转变的历史窗口期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。我们必须抓住这一稍纵即逝的机遇，通过设立重大项目群，实现从跟跑到领跑的跨越。</w:t>
      </w:r>
    </w:p>
    <w:p w14:paraId="67063D9C" w14:textId="77777777" w:rsidR="00B83B18" w:rsidRPr="00B83B18" w:rsidRDefault="00B83B18" w:rsidP="00B83B18">
      <w:pPr>
        <w:widowControl/>
        <w:spacing w:before="450" w:after="300" w:line="240" w:lineRule="auto"/>
        <w:outlineLvl w:val="1"/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</w:pPr>
      <w:r w:rsidRPr="00B83B18"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  <w:t>二、现状与问题</w:t>
      </w:r>
    </w:p>
    <w:p w14:paraId="75767378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从国际前沿看，尽管欧美起步较早，但仍面临核心瓶颈。DARPA的SyNAPSE计划（投入1亿美元）研发的TrueNorth芯片虽达100万神经元，但仍基于传统冯·诺依曼架构；欧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lastRenderedPageBreak/>
        <w:t>盟HBP实现了8600万神经元的全脑仿真，但缺乏数理层面的涌现解释；Intel的Loihi 2和Brainchip的Akida芯片仍停留在10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⁵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量级神经元规模。当前国际上的核心瓶颈主要集中在三点：</w:t>
      </w:r>
      <w:r w:rsidRPr="00B83B18">
        <w:rPr>
          <w:rFonts w:ascii="楷体" w:eastAsia="楷体" w:hAnsi="楷体" w:cs="宋体" w:hint="eastAsia"/>
          <w:b/>
          <w:bCs/>
          <w:color w:val="000000"/>
          <w:kern w:val="0"/>
          <w:sz w:val="32"/>
          <w:szCs w:val="32"/>
          <w14:ligatures w14:val="none"/>
        </w:rPr>
        <w:t>一是缺乏从网络结构到智能涌现的完备数学理论；二是未能实现介观尺度（0.3-0.5mm微柱）的生物尺度同构；三是系统能耗仍比生物大脑高出1000倍以上。</w:t>
      </w:r>
    </w:p>
    <w:p w14:paraId="5C38AEB7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国内方面，虽然清华大学“天机芯”、浙江大学“达尔文”芯片以及2021年启动的中国脑计划取得了一定进展，但存在明显短板：理论原创性不足，多借鉴国外SNN（脉冲神经网络）模型；工程实现路径不清，现有芯片规模多在百万量级，距离人脑860亿神经元相去甚远；产业生态缺失，缺乏自主可控的EDA工具链、IP核库及国际标准话语权。</w:t>
      </w:r>
    </w:p>
    <w:p w14:paraId="05938085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值得注意的是，邬江兴院士团队在相关领域已取得突破性进展。团队提出的软件定义晶上系统（SDSoW）成功突破了硬件固化的限制；拟态防御理论中的动态异构冗余（DHR）架构已在全国500+关键节点部署，验证了异构冗余对系统鲁棒性的提升；多模态网络架构为复杂网络的工程实现提供了方法论支撑。</w:t>
      </w:r>
    </w:p>
    <w:p w14:paraId="06B62039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特别是团队原创的</w:t>
      </w:r>
      <w:r w:rsidRPr="00B83B18">
        <w:rPr>
          <w:rFonts w:ascii="楷体" w:eastAsia="楷体" w:hAnsi="楷体" w:cs="宋体" w:hint="eastAsia"/>
          <w:b/>
          <w:bCs/>
          <w:color w:val="000000"/>
          <w:kern w:val="0"/>
          <w:sz w:val="32"/>
          <w:szCs w:val="32"/>
          <w14:ligatures w14:val="none"/>
        </w:rPr>
        <w:t>介观尺度网络涌现智能理论（iNEST）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，已完成152个生物/人工系统的交叉验证，支持率高达88.2%（134/152）。提出的CST定理（I = C_S · C_T · e^(α·Γ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lastRenderedPageBreak/>
        <w:t>_ST)，其中C_S为结构复杂度，C_T为时间复杂度，Γ_ST为时空耦合系数）在统计验证中R²达到0.94，显著优于线性模型的0.67，ΔAIC值为-352。实验表明，基于该理论的复杂网络优化可使系统效率提升37%，远超单体优化的12%。</w:t>
      </w:r>
    </w:p>
    <w:p w14:paraId="13FEDD23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当前亟待解决的三大核心问题是：</w:t>
      </w:r>
      <w:r w:rsidRPr="00B83B18">
        <w:rPr>
          <w:rFonts w:ascii="楷体" w:eastAsia="楷体" w:hAnsi="楷体" w:cs="宋体" w:hint="eastAsia"/>
          <w:b/>
          <w:bCs/>
          <w:color w:val="000000"/>
          <w:kern w:val="0"/>
          <w:sz w:val="32"/>
          <w:szCs w:val="32"/>
          <w14:ligatures w14:val="none"/>
        </w:rPr>
        <w:t>①CST定理的数学完备化，将经验公式上升为严格定理；②晶圆级工程的可实现性，即如何在晶圆上构建10</w:t>
      </w:r>
      <w:r w:rsidRPr="00B83B18">
        <w:rPr>
          <w:rFonts w:ascii="Cambria Math" w:eastAsia="楷体" w:hAnsi="Cambria Math" w:cs="Cambria Math"/>
          <w:b/>
          <w:bCs/>
          <w:color w:val="000000"/>
          <w:kern w:val="0"/>
          <w:sz w:val="32"/>
          <w:szCs w:val="32"/>
          <w14:ligatures w14:val="none"/>
        </w:rPr>
        <w:t>⁷</w:t>
      </w:r>
      <w:r w:rsidRPr="00B83B18">
        <w:rPr>
          <w:rFonts w:ascii="楷体" w:eastAsia="楷体" w:hAnsi="楷体" w:cs="宋体" w:hint="eastAsia"/>
          <w:b/>
          <w:bCs/>
          <w:color w:val="000000"/>
          <w:kern w:val="0"/>
          <w:sz w:val="32"/>
          <w:szCs w:val="32"/>
          <w14:ligatures w14:val="none"/>
        </w:rPr>
        <w:t>-10</w:t>
      </w:r>
      <w:r w:rsidRPr="00B83B18">
        <w:rPr>
          <w:rFonts w:ascii="Cambria Math" w:eastAsia="楷体" w:hAnsi="Cambria Math" w:cs="Cambria Math"/>
          <w:b/>
          <w:bCs/>
          <w:color w:val="000000"/>
          <w:kern w:val="0"/>
          <w:sz w:val="32"/>
          <w:szCs w:val="32"/>
          <w14:ligatures w14:val="none"/>
        </w:rPr>
        <w:t>⁹</w:t>
      </w:r>
      <w:r w:rsidRPr="00B83B18">
        <w:rPr>
          <w:rFonts w:ascii="楷体" w:eastAsia="楷体" w:hAnsi="楷体" w:cs="楷体" w:hint="eastAsia"/>
          <w:b/>
          <w:bCs/>
          <w:color w:val="000000"/>
          <w:kern w:val="0"/>
          <w:sz w:val="32"/>
          <w:szCs w:val="32"/>
          <w14:ligatures w14:val="none"/>
        </w:rPr>
        <w:t>节点的自组织网络；③生物尺度的同构，实现拓扑、尺度、动力学的三重映射。</w:t>
      </w:r>
    </w:p>
    <w:p w14:paraId="3376448F" w14:textId="77777777" w:rsidR="00B83B18" w:rsidRPr="00B83B18" w:rsidRDefault="00B83B18" w:rsidP="00B83B18">
      <w:pPr>
        <w:widowControl/>
        <w:spacing w:before="450" w:after="300" w:line="240" w:lineRule="auto"/>
        <w:outlineLvl w:val="1"/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</w:pPr>
      <w:r w:rsidRPr="00B83B18"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  <w:t>三、国际差距与机遇</w:t>
      </w:r>
    </w:p>
    <w:p w14:paraId="5B30E84E" w14:textId="77777777" w:rsidR="00B83B18" w:rsidRPr="00B83B18" w:rsidRDefault="00B83B18" w:rsidP="00B83B18">
      <w:pPr>
        <w:widowControl/>
        <w:spacing w:before="300" w:after="225" w:line="240" w:lineRule="auto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40"/>
          <w:szCs w:val="40"/>
          <w14:ligatures w14:val="none"/>
        </w:rPr>
      </w:pPr>
      <w:r w:rsidRPr="00B83B18">
        <w:rPr>
          <w:rFonts w:ascii="微软雅黑" w:eastAsia="微软雅黑" w:hAnsi="微软雅黑" w:cs="宋体" w:hint="eastAsia"/>
          <w:b/>
          <w:bCs/>
          <w:color w:val="000000"/>
          <w:kern w:val="0"/>
          <w:sz w:val="40"/>
          <w:szCs w:val="40"/>
          <w14:ligatures w14:val="none"/>
        </w:rPr>
        <w:t>（一）量化差距分析</w:t>
      </w: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618"/>
        <w:gridCol w:w="2215"/>
        <w:gridCol w:w="2660"/>
      </w:tblGrid>
      <w:tr w:rsidR="00B83B18" w:rsidRPr="00B83B18" w14:paraId="1653DD3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CE7AD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b/>
                <w:bCs/>
                <w:color w:val="415462"/>
                <w:kern w:val="0"/>
                <w:sz w:val="24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0D4E7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b/>
                <w:bCs/>
                <w:color w:val="415462"/>
                <w:kern w:val="0"/>
                <w:sz w:val="24"/>
                <w14:ligatures w14:val="none"/>
              </w:rPr>
              <w:t>国际最高水平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481E8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b/>
                <w:bCs/>
                <w:color w:val="415462"/>
                <w:kern w:val="0"/>
                <w:sz w:val="24"/>
                <w14:ligatures w14:val="none"/>
              </w:rPr>
              <w:t>国内现状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8488B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b/>
                <w:bCs/>
                <w:color w:val="415462"/>
                <w:kern w:val="0"/>
                <w:sz w:val="24"/>
                <w14:ligatures w14:val="none"/>
              </w:rPr>
              <w:t>差距与窗口期</w:t>
            </w:r>
          </w:p>
        </w:tc>
      </w:tr>
      <w:tr w:rsidR="00B83B18" w:rsidRPr="00B83B18" w14:paraId="239496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AE705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理论原创性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D6256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MIT复杂网络理论（Barabási，被引10万+次）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26DF0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跟随性研究为主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04ADA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差距3-5年，追赶窗口：2026-2028</w:t>
            </w:r>
          </w:p>
        </w:tc>
      </w:tr>
      <w:tr w:rsidR="00B83B18" w:rsidRPr="00B83B18" w14:paraId="7A4261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BE502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芯片规模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D3120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Cerebras WSE-3（90万AI核心，5nm）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289B1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清华天机芯（10万神经元，28nm）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928E2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节点数差10倍，但制程优势可弥补，窗口：2027-2029</w:t>
            </w:r>
          </w:p>
        </w:tc>
      </w:tr>
      <w:tr w:rsidR="00B83B18" w:rsidRPr="00B83B18" w14:paraId="3782C0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AF8AC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lastRenderedPageBreak/>
              <w:t>能效比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2BF84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Loihi 2（15 pJ/SOP，比生物高1000倍）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A0D69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现有GPU（5 nJ/OP，比生物高10</w:t>
            </w:r>
            <w:r w:rsidRPr="00B83B18">
              <w:rPr>
                <w:rFonts w:ascii="Cambria Math" w:eastAsia="宋体" w:hAnsi="Cambria Math" w:cs="Cambria Math"/>
                <w:color w:val="415462"/>
                <w:kern w:val="0"/>
                <w:sz w:val="24"/>
                <w14:ligatures w14:val="none"/>
              </w:rPr>
              <w:t>⁵</w:t>
            </w: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倍）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1428C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差距&lt;100倍，窗口：2028-2030</w:t>
            </w:r>
          </w:p>
        </w:tc>
      </w:tr>
      <w:tr w:rsidR="00B83B18" w:rsidRPr="00B83B18" w14:paraId="5F37E5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6F2E2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国际标准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0A4DD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IEEE P2979神经形态标准（美国主导）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1872D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尚无主导标准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BC1D5" w14:textId="77777777" w:rsidR="00B83B18" w:rsidRPr="00B83B18" w:rsidRDefault="00B83B18" w:rsidP="00B83B18">
            <w:pPr>
              <w:widowControl/>
              <w:spacing w:before="300" w:after="300" w:line="240" w:lineRule="auto"/>
              <w:jc w:val="center"/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</w:pPr>
            <w:r w:rsidRPr="00B83B18">
              <w:rPr>
                <w:rFonts w:ascii="宋体" w:eastAsia="宋体" w:hAnsi="宋体" w:cs="宋体" w:hint="eastAsia"/>
                <w:color w:val="415462"/>
                <w:kern w:val="0"/>
                <w:sz w:val="24"/>
                <w14:ligatures w14:val="none"/>
              </w:rPr>
              <w:t>话语权缺失，关键窗口：2026-2027</w:t>
            </w:r>
          </w:p>
        </w:tc>
      </w:tr>
    </w:tbl>
    <w:p w14:paraId="7E614AD7" w14:textId="77777777" w:rsidR="00B83B18" w:rsidRPr="00B83B18" w:rsidRDefault="00B83B18" w:rsidP="00B83B18">
      <w:pPr>
        <w:widowControl/>
        <w:spacing w:before="300" w:after="225" w:line="240" w:lineRule="auto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40"/>
          <w:szCs w:val="40"/>
          <w14:ligatures w14:val="none"/>
        </w:rPr>
      </w:pPr>
      <w:r w:rsidRPr="00B83B18">
        <w:rPr>
          <w:rFonts w:ascii="微软雅黑" w:eastAsia="微软雅黑" w:hAnsi="微软雅黑" w:cs="宋体" w:hint="eastAsia"/>
          <w:b/>
          <w:bCs/>
          <w:color w:val="000000"/>
          <w:kern w:val="0"/>
          <w:sz w:val="40"/>
          <w:szCs w:val="40"/>
          <w14:ligatures w14:val="none"/>
        </w:rPr>
        <w:t>（二）战略机遇分析</w:t>
      </w:r>
    </w:p>
    <w:p w14:paraId="75810E77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楷体" w:eastAsia="楷体" w:hAnsi="楷体" w:cs="宋体" w:hint="eastAsia"/>
          <w:b/>
          <w:bCs/>
          <w:color w:val="000000"/>
          <w:kern w:val="0"/>
          <w:sz w:val="32"/>
          <w:szCs w:val="32"/>
          <w14:ligatures w14:val="none"/>
        </w:rPr>
        <w:t>机遇1：技术范式窗口期。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GPT-5训练成本的指数级增长已触及天花板，产业界急需“第二曲线”。晶圆级脑同构架构有望将能耗降低1000倍（生物脑20W vs GPU 20kW），从根本上解决能耗危机。</w:t>
      </w:r>
    </w:p>
    <w:p w14:paraId="7314EEE0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楷体" w:eastAsia="楷体" w:hAnsi="楷体" w:cs="宋体" w:hint="eastAsia"/>
          <w:b/>
          <w:bCs/>
          <w:color w:val="000000"/>
          <w:kern w:val="0"/>
          <w:sz w:val="32"/>
          <w:szCs w:val="32"/>
          <w14:ligatures w14:val="none"/>
        </w:rPr>
        <w:t>机遇2：工艺路线差异化。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面对美国对华7nm以下先进制程的封锁，本项目采用28nm成熟工艺。28nm工艺下1mm²可集成10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⁴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-10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⁵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晶体管，恰好匹配皮层微柱（直径0.5mm，约10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⁴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神经元）的物理尺度。通过12英寸晶圆级集成（约700cm²），可突破光刻尺寸墙，实现10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⁷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-10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⁹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节点规模，从而实现对美国5nm GPU技术路径的非对称超越。</w:t>
      </w:r>
    </w:p>
    <w:p w14:paraId="051D0D20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楷体" w:eastAsia="楷体" w:hAnsi="楷体" w:cs="宋体" w:hint="eastAsia"/>
          <w:b/>
          <w:bCs/>
          <w:color w:val="000000"/>
          <w:kern w:val="0"/>
          <w:sz w:val="32"/>
          <w:szCs w:val="32"/>
          <w14:ligatures w14:val="none"/>
        </w:rPr>
        <w:t>机遇3：我方比较优势。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iNEST理论的高支持率（88.2%）具备冲击Nature/Science的基础；邬院士团队的拟态防御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lastRenderedPageBreak/>
        <w:t>产业化经验可直接迁移；中芯国际成熟的28nm产线（良率&gt;98%）及华为、寒武纪的生态配套，为项目实施提供了坚实保障。</w:t>
      </w:r>
    </w:p>
    <w:p w14:paraId="468D40F1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综上所述，我们当前处于“抢跑阶段”而非“追赶阶段”。若能在2026-2027年率先实现理论突破与工程验证，中国有望在AI基础理论领域实现“从0到1”的原创引领。</w:t>
      </w:r>
    </w:p>
    <w:p w14:paraId="34013FDC" w14:textId="77777777" w:rsidR="00B83B18" w:rsidRPr="00B83B18" w:rsidRDefault="00B83B18" w:rsidP="00B83B18">
      <w:pPr>
        <w:widowControl/>
        <w:spacing w:before="450" w:after="300" w:line="240" w:lineRule="auto"/>
        <w:outlineLvl w:val="1"/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</w:pPr>
      <w:r w:rsidRPr="00B83B18"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  <w:t>四、建议内容——项目群总体设计</w:t>
      </w:r>
    </w:p>
    <w:p w14:paraId="2EFB9A63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建议设立“脑同构晶上复杂网络涌现智能”重大项目群，总经费2亿元，周期6年（2026-2031），由邬江兴院士担任总负责人。项目群围绕“智能如何从网络拓扑涌现”、“如何实现介观尺度三重同构”、“脑同构系统能否达到生物脑能效比”三大核心科学问题展开。</w:t>
      </w:r>
    </w:p>
    <w:p w14:paraId="055E9C0A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总体目标：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理论上，将CST定理上升为严格数学定理，发表Nature/Science主刊论文1-2篇；工程上，完成三代芯片流片（10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⁴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→10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⁶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→10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⁷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神经元），在ImageNet等任务上达到SOTA水平且能耗降低1000倍；标准上，主导IEEE/ISO标准2-3项，创办BISI国际会议；人才上，培养博士/博士后80+人，PI级人才8人。</w:t>
      </w:r>
    </w:p>
    <w:p w14:paraId="1994D778" w14:textId="77777777" w:rsidR="00B83B18" w:rsidRPr="00B83B18" w:rsidRDefault="00B83B18" w:rsidP="00B83B18">
      <w:pPr>
        <w:widowControl/>
        <w:spacing w:before="300" w:after="225" w:line="240" w:lineRule="auto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40"/>
          <w:szCs w:val="40"/>
          <w14:ligatures w14:val="none"/>
        </w:rPr>
      </w:pPr>
      <w:r w:rsidRPr="00B83B18">
        <w:rPr>
          <w:rFonts w:ascii="微软雅黑" w:eastAsia="微软雅黑" w:hAnsi="微软雅黑" w:cs="宋体" w:hint="eastAsia"/>
          <w:b/>
          <w:bCs/>
          <w:color w:val="000000"/>
          <w:kern w:val="0"/>
          <w:sz w:val="40"/>
          <w:szCs w:val="40"/>
          <w14:ligatures w14:val="none"/>
        </w:rPr>
        <w:t>（一）理论基础层（3个子项目，5000万元）</w:t>
      </w:r>
    </w:p>
    <w:p w14:paraId="7E1AD408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lastRenderedPageBreak/>
        <w:t>子项目1：iNEST理论的数学完备化与普适性验证（2000万元）</w:t>
      </w:r>
    </w:p>
    <w:p w14:paraId="66453502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负责人拟邀北京大学数学学院教授。内容包括：CST定理的严格化证明，建立涌现阈值的充要条件；验证规模从152个系统扩展至2000+，支持率目标≥95%；建立从微观到宏观的多尺度桥接理论。验收指标：Nature/Science主刊论文1篇或子刊2篇；建立开放验证平台。</w:t>
      </w:r>
    </w:p>
    <w:p w14:paraId="080F828B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子项目2：脑同构三重映射框架与生物验证（1800万元）</w:t>
      </w:r>
    </w:p>
    <w:p w14:paraId="560FC8CA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负责人拟邀北京师范大学教授。内容聚焦三重同构：拓扑同构（保持度分布、聚类系数，误差&lt;5%）、尺度同构（模块对应皮层微柱）、动力学同构（相关系数&gt;0.75，复现脑波振荡）。通过小鼠/灵长类实验进行生物验证。验收指标：三重同构验证协议；视觉任务准确率差异&lt;10%。</w:t>
      </w:r>
    </w:p>
    <w:p w14:paraId="3696D35C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子项目3：复杂网络涌现的控制理论与优化算法（1200万元）</w:t>
      </w:r>
    </w:p>
    <w:p w14:paraId="5337526D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负责人拟邀清华大学自动化系教授。研究涌现可控性理论（逆向设计）、分布式优化算法（收敛速度O(log N)）及鲁棒性机制。验收指标：发表Automatica等顶刊论文≥5篇；逆向设计算法在10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⁷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节点收敛&lt;10小时。</w:t>
      </w:r>
    </w:p>
    <w:p w14:paraId="0C620FEB" w14:textId="77777777" w:rsidR="00B83B18" w:rsidRPr="00B83B18" w:rsidRDefault="00B83B18" w:rsidP="00B83B18">
      <w:pPr>
        <w:widowControl/>
        <w:spacing w:before="300" w:after="225" w:line="240" w:lineRule="auto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40"/>
          <w:szCs w:val="40"/>
          <w14:ligatures w14:val="none"/>
        </w:rPr>
      </w:pPr>
      <w:r w:rsidRPr="00B83B18">
        <w:rPr>
          <w:rFonts w:ascii="微软雅黑" w:eastAsia="微软雅黑" w:hAnsi="微软雅黑" w:cs="宋体" w:hint="eastAsia"/>
          <w:b/>
          <w:bCs/>
          <w:color w:val="000000"/>
          <w:kern w:val="0"/>
          <w:sz w:val="40"/>
          <w:szCs w:val="40"/>
          <w14:ligatures w14:val="none"/>
        </w:rPr>
        <w:t>（二）工程实现层（4个子项目，1.2亿元）</w:t>
      </w:r>
    </w:p>
    <w:p w14:paraId="29096890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lastRenderedPageBreak/>
        <w:t>子项目4：晶圆级自组织网络构造技术（3500万元）</w:t>
      </w:r>
    </w:p>
    <w:p w14:paraId="68FD2D02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负责人拟邀中芯国际专家与邬院士团队。核心是三代芯片迭代：第一代（2027，10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⁴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神经元），第二代（2029，10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⁶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神经元），第三代（2031，10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⁷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神经元晶圆级集成）。研究自组织布线算法及能量管理架构。验收指标：三代流片良率&gt;80%；待机功耗&lt;10mW/cm²。</w:t>
      </w:r>
    </w:p>
    <w:p w14:paraId="53B4979E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子项目5：脑同构EDA工具链与IP核库（2500万元）</w:t>
      </w:r>
    </w:p>
    <w:p w14:paraId="522965D5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负责人拟邀华为海思专家。开发专用EDA工具链及50+可复用IP核（神经元、突触等），建立开源社区。验收指标：EDA工具链开源发布；GitHub Star&gt;1000；设计周期缩短30%。</w:t>
      </w:r>
    </w:p>
    <w:p w14:paraId="193489A1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子项目6：脑同构学习算法与智能范式（3000万元）</w:t>
      </w:r>
    </w:p>
    <w:p w14:paraId="0F909286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负责人拟邀北大/清华AI团队。研发非BP学习算法（基于局部Hebbian规则）及多智能体协同范式。验收指标：ImageNet Top-1≥75%，训练能耗&lt;5kWh（GPU约500kWh）；推理功耗&lt;2W。</w:t>
      </w:r>
    </w:p>
    <w:p w14:paraId="3851D886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子项目7：产业场景验证与应用示范（3000万元）</w:t>
      </w:r>
    </w:p>
    <w:p w14:paraId="36EC6F36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负责人拟邀华为/字节/商汤专家。在自动驾驶（低延迟）、智能制造（缺陷检测）、医疗诊断（肺结节识别）三大场景开展验证。验收指标：各场景≥2个实际部署；获NMPA二类医疗器械认证。</w:t>
      </w:r>
    </w:p>
    <w:p w14:paraId="27733EFD" w14:textId="77777777" w:rsidR="00B83B18" w:rsidRPr="00B83B18" w:rsidRDefault="00B83B18" w:rsidP="00B83B18">
      <w:pPr>
        <w:widowControl/>
        <w:spacing w:before="300" w:after="225" w:line="240" w:lineRule="auto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40"/>
          <w:szCs w:val="40"/>
          <w14:ligatures w14:val="none"/>
        </w:rPr>
      </w:pPr>
      <w:r w:rsidRPr="00B83B18">
        <w:rPr>
          <w:rFonts w:ascii="微软雅黑" w:eastAsia="微软雅黑" w:hAnsi="微软雅黑" w:cs="宋体" w:hint="eastAsia"/>
          <w:b/>
          <w:bCs/>
          <w:color w:val="000000"/>
          <w:kern w:val="0"/>
          <w:sz w:val="40"/>
          <w:szCs w:val="40"/>
          <w14:ligatures w14:val="none"/>
        </w:rPr>
        <w:lastRenderedPageBreak/>
        <w:t>（三）生态引领层（1个子项目，3000万元）</w:t>
      </w:r>
    </w:p>
    <w:p w14:paraId="0B44379F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子项目8：国际标准制定与开源生态建设（3000万元）</w:t>
      </w:r>
    </w:p>
    <w:p w14:paraId="53167BB8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负责人拟邀中国电子技术标准化研究院。主导IEEE/ISO标准制定，创办BISI国际会议，运营开源社区，出版国家级规划教材。验收指标：IEEE标准发布≥1项；BISI会议录用率&lt;30%；教材销量&gt;5000册。</w:t>
      </w:r>
    </w:p>
    <w:p w14:paraId="20951B16" w14:textId="77777777" w:rsidR="00B83B18" w:rsidRPr="00B83B18" w:rsidRDefault="00B83B18" w:rsidP="00B83B18">
      <w:pPr>
        <w:widowControl/>
        <w:spacing w:before="450" w:after="300" w:line="240" w:lineRule="auto"/>
        <w:outlineLvl w:val="1"/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</w:pPr>
      <w:r w:rsidRPr="00B83B18"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  <w:t>五、实施路径与时序规划</w:t>
      </w:r>
    </w:p>
    <w:p w14:paraId="133CDB49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本项目采用“理论驱动-工程验证-生态巩固”的三阶段螺旋推进模式：</w:t>
      </w:r>
    </w:p>
    <w:p w14:paraId="20B52D27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第一阶段：理论先行与原型验证（2026-2028年）。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核心任务是完成CST定理数学证明，验证系统扩展至500+；完成第一代28nm芯片流片（10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⁴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神经元），验证基本涌现现象；发布EDA工具alpha版本。关键里程碑包括2027年6月投稿Nature Physics，2027年12月首代芯片流片成功，2028年3月在北京举办首届BISI会议。</w:t>
      </w:r>
    </w:p>
    <w:p w14:paraId="6191FC65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第二阶段：工程突破与产业验证（2029-2030年）。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核心任务是完成第二代Chiplet 2.5D封装芯片（10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⁶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神经元），性能对标Nvidia Jetson但能耗降低100倍；启动自动驾驶和智能制造场景验证；推动IEEE标准进入投票阶段。关键里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lastRenderedPageBreak/>
        <w:t>程碑包括2029年12月发布ImageNet测试结果，2030年3月签署金额≥5000万元的产业合作协议。</w:t>
      </w:r>
    </w:p>
    <w:p w14:paraId="388C969E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第三阶段：生态巩固与国际引领（2031年及后续）。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核心任务是完成第三代晶圆级芯片（10</w:t>
      </w:r>
      <w:r w:rsidRPr="00B83B18">
        <w:rPr>
          <w:rFonts w:ascii="Cambria Math" w:eastAsia="宋体" w:hAnsi="Cambria Math" w:cs="Cambria Math"/>
          <w:color w:val="000000"/>
          <w:kern w:val="0"/>
          <w:sz w:val="32"/>
          <w:szCs w:val="32"/>
          <w14:ligatures w14:val="none"/>
        </w:rPr>
        <w:t>⁷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神经元）流片，实现类皮层尺度功能；正式发布IEEE/ISO标准；建成全球开发者生态。关键里程碑包括2031年6月创世界纪录的晶圆级芯片流片，2031年9月标准发布，2031年底召开项目总结大会。</w:t>
      </w:r>
    </w:p>
    <w:p w14:paraId="047B02C5" w14:textId="77777777" w:rsidR="00B83B18" w:rsidRPr="00B83B18" w:rsidRDefault="00B83B18" w:rsidP="00B83B18">
      <w:pPr>
        <w:widowControl/>
        <w:spacing w:before="450" w:after="300" w:line="240" w:lineRule="auto"/>
        <w:outlineLvl w:val="1"/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</w:pPr>
      <w:r w:rsidRPr="00B83B18"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  <w:t>六、资源需求与经费预算</w:t>
      </w:r>
    </w:p>
    <w:p w14:paraId="7E25EB19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（一）总体预算</w:t>
      </w:r>
    </w:p>
    <w:p w14:paraId="0FB90C61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项目申请总经费2亿元人民币。年度安排为：2026年2500万，2027年3000万，2028年3500万，2029年4000万，2030年3800万，2031年3200万。</w:t>
      </w:r>
    </w:p>
    <w:p w14:paraId="491CA71A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（二）经费分项明细</w:t>
      </w:r>
    </w:p>
    <w:p w14:paraId="6B435D52" w14:textId="77777777" w:rsidR="00B83B18" w:rsidRPr="00B83B18" w:rsidRDefault="00B83B18" w:rsidP="00B83B18">
      <w:pPr>
        <w:widowControl/>
        <w:numPr>
          <w:ilvl w:val="0"/>
          <w:numId w:val="11"/>
        </w:numPr>
        <w:spacing w:before="100" w:beforeAutospacing="1" w:after="75" w:line="240" w:lineRule="auto"/>
        <w:ind w:firstLine="480"/>
        <w:jc w:val="both"/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415462"/>
          <w:kern w:val="0"/>
          <w:sz w:val="32"/>
          <w:szCs w:val="32"/>
          <w14:ligatures w14:val="none"/>
        </w:rPr>
        <w:t>设备费（6500万元，32.5%）：</w:t>
      </w:r>
      <w:r w:rsidRPr="00B83B18"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  <w:t>主要用于三代芯片流片（4000万），EDA软件授权（800万），计算集群搭建（1000万）及实验设备采购（700万）。</w:t>
      </w:r>
    </w:p>
    <w:p w14:paraId="125FFA91" w14:textId="77777777" w:rsidR="00B83B18" w:rsidRPr="00B83B18" w:rsidRDefault="00B83B18" w:rsidP="00B83B18">
      <w:pPr>
        <w:widowControl/>
        <w:numPr>
          <w:ilvl w:val="0"/>
          <w:numId w:val="12"/>
        </w:numPr>
        <w:spacing w:before="100" w:beforeAutospacing="1" w:after="75" w:line="240" w:lineRule="auto"/>
        <w:ind w:firstLine="480"/>
        <w:jc w:val="both"/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415462"/>
          <w:kern w:val="0"/>
          <w:sz w:val="32"/>
          <w:szCs w:val="32"/>
          <w14:ligatures w14:val="none"/>
        </w:rPr>
        <w:t>人员费（8000万元，40%）：</w:t>
      </w:r>
      <w:r w:rsidRPr="00B83B18"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  <w:t>用于博士后（40人）、博士生（80人）、科研助理（20人）、PI及外聘专家的劳务支出，确保人才队伍稳定。</w:t>
      </w:r>
    </w:p>
    <w:p w14:paraId="071C562F" w14:textId="77777777" w:rsidR="00B83B18" w:rsidRPr="00B83B18" w:rsidRDefault="00B83B18" w:rsidP="00B83B18">
      <w:pPr>
        <w:widowControl/>
        <w:numPr>
          <w:ilvl w:val="0"/>
          <w:numId w:val="13"/>
        </w:numPr>
        <w:spacing w:before="100" w:beforeAutospacing="1" w:after="75" w:line="240" w:lineRule="auto"/>
        <w:ind w:firstLine="480"/>
        <w:jc w:val="both"/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415462"/>
          <w:kern w:val="0"/>
          <w:sz w:val="32"/>
          <w:szCs w:val="32"/>
          <w14:ligatures w14:val="none"/>
        </w:rPr>
        <w:lastRenderedPageBreak/>
        <w:t>差旅与会议费（2000万元，10%）：</w:t>
      </w:r>
      <w:r w:rsidRPr="00B83B18"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  <w:t>用于举办三届BISI会议，参与IEEE/ISO标准会议及日常学术交流。</w:t>
      </w:r>
    </w:p>
    <w:p w14:paraId="652303D1" w14:textId="77777777" w:rsidR="00B83B18" w:rsidRPr="00B83B18" w:rsidRDefault="00B83B18" w:rsidP="00B83B18">
      <w:pPr>
        <w:widowControl/>
        <w:numPr>
          <w:ilvl w:val="0"/>
          <w:numId w:val="14"/>
        </w:numPr>
        <w:spacing w:before="100" w:beforeAutospacing="1" w:after="75" w:line="240" w:lineRule="auto"/>
        <w:ind w:firstLine="480"/>
        <w:jc w:val="both"/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415462"/>
          <w:kern w:val="0"/>
          <w:sz w:val="32"/>
          <w:szCs w:val="32"/>
          <w14:ligatures w14:val="none"/>
        </w:rPr>
        <w:t>材料与测试费（1500万元，7.5%）：</w:t>
      </w:r>
      <w:r w:rsidRPr="00B83B18"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  <w:t>包括芯片封装测试、动物实验耗材及电子元器件采购。</w:t>
      </w:r>
    </w:p>
    <w:p w14:paraId="0B56525A" w14:textId="77777777" w:rsidR="00B83B18" w:rsidRPr="00B83B18" w:rsidRDefault="00B83B18" w:rsidP="00B83B18">
      <w:pPr>
        <w:widowControl/>
        <w:numPr>
          <w:ilvl w:val="0"/>
          <w:numId w:val="15"/>
        </w:numPr>
        <w:spacing w:before="100" w:beforeAutospacing="1" w:after="75" w:line="240" w:lineRule="auto"/>
        <w:ind w:firstLine="480"/>
        <w:jc w:val="both"/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415462"/>
          <w:kern w:val="0"/>
          <w:sz w:val="32"/>
          <w:szCs w:val="32"/>
          <w14:ligatures w14:val="none"/>
        </w:rPr>
        <w:t>出版与知识产权费（1000万元，5%）：</w:t>
      </w:r>
      <w:r w:rsidRPr="00B83B18"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  <w:t>用于专著出版、50项发明专利申请及开源社区运营。</w:t>
      </w:r>
    </w:p>
    <w:p w14:paraId="09A20FFB" w14:textId="77777777" w:rsidR="00B83B18" w:rsidRPr="00B83B18" w:rsidRDefault="00B83B18" w:rsidP="00B83B18">
      <w:pPr>
        <w:widowControl/>
        <w:numPr>
          <w:ilvl w:val="0"/>
          <w:numId w:val="16"/>
        </w:numPr>
        <w:spacing w:before="100" w:beforeAutospacing="1" w:after="75" w:line="240" w:lineRule="auto"/>
        <w:ind w:firstLine="480"/>
        <w:jc w:val="both"/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415462"/>
          <w:kern w:val="0"/>
          <w:sz w:val="32"/>
          <w:szCs w:val="32"/>
          <w14:ligatures w14:val="none"/>
        </w:rPr>
        <w:t>其他费用（1000万元，5%）：</w:t>
      </w:r>
      <w:r w:rsidRPr="00B83B18"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  <w:t>包括管理费及不可预见费。</w:t>
      </w:r>
    </w:p>
    <w:p w14:paraId="294BB606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（三）配套资金</w:t>
      </w:r>
    </w:p>
    <w:p w14:paraId="5892D39A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除国拨经费外，预计吸引配套资金约1亿元，实际总投入达3亿元。包括：企业配套4000万元（华为、字节、商汤、腾讯）；地方政府配套3000万元（北京、上海、深圳）；国际合作资金1000万元；单位自筹1500万元。</w:t>
      </w:r>
    </w:p>
    <w:p w14:paraId="13CCA978" w14:textId="77777777" w:rsidR="00B83B18" w:rsidRPr="00B83B18" w:rsidRDefault="00B83B18" w:rsidP="00B83B18">
      <w:pPr>
        <w:widowControl/>
        <w:spacing w:before="450" w:after="300" w:line="240" w:lineRule="auto"/>
        <w:outlineLvl w:val="1"/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</w:pPr>
      <w:r w:rsidRPr="00B83B18"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  <w:t>七、预期效益与社会影响</w:t>
      </w:r>
    </w:p>
    <w:p w14:paraId="2D8E1100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科学效益：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在理论上，发表Nature/Science主刊论文1-2篇，确立中国在智能涌现理论的国际地位；在技术上，申请发明专利50项以上，实现芯片性能突破；在人才上，培养一支由院士后备人选领衔的80+人高端科研“黄埔军校”。</w:t>
      </w:r>
    </w:p>
    <w:p w14:paraId="3E2EED84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lastRenderedPageBreak/>
        <w:t>经济效益：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中期（2030-2035），预计形成年产100万片产能，产值5亿元；远期带动全球边缘AI芯片市场中国占比提升至30%，直接贡献产值150亿元，拉动产业链产值1000亿元。通过将AI训练和推理成本分别降低100倍和1000倍，预计每年可为数据中心节省电费450亿元。</w:t>
      </w:r>
    </w:p>
    <w:p w14:paraId="295AA37E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社会效益：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民生方面，低成本AI诊断系统将惠及5亿基层人口，智能教育助手覆盖3亿学生，低成本脑控设备造福5000万残障人士。环境方面，助力实现碳中和，2035年减少碳排放9000万吨。安全方面，通过28nm工艺和国产EDA工具链，实现技术自主可控，摆脱外部制裁威胁。</w:t>
      </w:r>
    </w:p>
    <w:p w14:paraId="153ED7A4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战略效益：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在“第二曲线AI”领域实现从跟跑到领跑的战略逆转，主导国际标准制定，掌握话语权；通过输出低成本、高能效的“中国方案”，提升国家科技形象，构建负责任大国的影响力。</w:t>
      </w:r>
    </w:p>
    <w:p w14:paraId="26E37144" w14:textId="77777777" w:rsidR="00B83B18" w:rsidRPr="00B83B18" w:rsidRDefault="00B83B18" w:rsidP="00B83B18">
      <w:pPr>
        <w:widowControl/>
        <w:spacing w:before="450" w:after="300" w:line="240" w:lineRule="auto"/>
        <w:outlineLvl w:val="1"/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</w:pPr>
      <w:r w:rsidRPr="00B83B18">
        <w:rPr>
          <w:rFonts w:ascii="微软雅黑" w:eastAsia="微软雅黑" w:hAnsi="微软雅黑" w:cs="宋体" w:hint="eastAsia"/>
          <w:b/>
          <w:bCs/>
          <w:color w:val="000000"/>
          <w:kern w:val="0"/>
          <w:sz w:val="48"/>
          <w:szCs w:val="48"/>
          <w14:ligatures w14:val="none"/>
        </w:rPr>
        <w:t>八、立即行动的建议</w:t>
      </w:r>
    </w:p>
    <w:p w14:paraId="7E7D0A80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综合研判，本项目政策契合度高、理论原创性强、工程路径清晰、窗口期紧迫且综合效益巨大。为此，提出三点紧急建议：</w:t>
      </w:r>
    </w:p>
    <w:p w14:paraId="1E08D7AC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楷体" w:eastAsia="楷体" w:hAnsi="楷体" w:cs="宋体" w:hint="eastAsia"/>
          <w:b/>
          <w:bCs/>
          <w:color w:val="000000"/>
          <w:kern w:val="0"/>
          <w:sz w:val="32"/>
          <w:szCs w:val="32"/>
          <w14:ligatures w14:val="none"/>
        </w:rPr>
        <w:t>建议一：立即启动申报。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鉴于重大项目群申报截止日期临近（2026年4月15日），建议基金委将本项目列为2026年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lastRenderedPageBreak/>
        <w:t>优先支持方向，开辟绿色通道，力争3月底完成专家评审，4月中旬批复。</w:t>
      </w:r>
    </w:p>
    <w:p w14:paraId="5446AF09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楷体" w:eastAsia="楷体" w:hAnsi="楷体" w:cs="宋体" w:hint="eastAsia"/>
          <w:b/>
          <w:bCs/>
          <w:color w:val="000000"/>
          <w:kern w:val="0"/>
          <w:sz w:val="32"/>
          <w:szCs w:val="32"/>
          <w14:ligatures w14:val="none"/>
        </w:rPr>
        <w:t>建议二：协同其他部委形成合力。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建议由基金委牵头，联合科技部、发改委、工信部及教育部，形成“基金委主导理论+科技部支撑工程+发改委推动产业+工信部保障供应链+教育部培养人才”的全链条协同机制。</w:t>
      </w:r>
    </w:p>
    <w:p w14:paraId="36B5C609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楷体" w:eastAsia="楷体" w:hAnsi="楷体" w:cs="宋体" w:hint="eastAsia"/>
          <w:b/>
          <w:bCs/>
          <w:color w:val="000000"/>
          <w:kern w:val="0"/>
          <w:sz w:val="32"/>
          <w:szCs w:val="32"/>
          <w14:ligatures w14:val="none"/>
        </w:rPr>
        <w:t>建议三：院士联名上书。</w:t>
      </w: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建议邬江兴院士联合张钹、郭雷、陈国良、李未等院士，向中央提交《关于抢占“第二曲线AI”战略制高点的紧急建议》，争取国家最高层面的关注与支持。</w:t>
      </w:r>
    </w:p>
    <w:p w14:paraId="767B11F8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历史机遇稍纵即逝。若能在本年度启动本项目，到2031年，我们将向党和人民交出一份满意答卷：在理论上建立国际首个智能涌现完整数学理论，在工程上实现晶圆级芯片能耗降低1000倍，在战略上确立中国在下一代AI的全球领导地位。</w:t>
      </w:r>
    </w:p>
    <w:p w14:paraId="6A6D5AF7" w14:textId="77777777" w:rsidR="00B83B18" w:rsidRPr="00B83B18" w:rsidRDefault="00B83B18" w:rsidP="00B83B18">
      <w:pPr>
        <w:widowControl/>
        <w:spacing w:before="450" w:after="150" w:line="240" w:lineRule="auto"/>
        <w:ind w:firstLine="480"/>
        <w:jc w:val="center"/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时不我待，唯有奋斗！</w:t>
      </w:r>
    </w:p>
    <w:p w14:paraId="0047A9F3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呈报人：邬江兴（中国工程院院士）</w:t>
      </w:r>
    </w:p>
    <w:p w14:paraId="584F7830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  <w:t>日期：2026年3月8日</w:t>
      </w:r>
    </w:p>
    <w:p w14:paraId="7BC2AA05" w14:textId="77777777" w:rsidR="00B83B18" w:rsidRPr="00B83B18" w:rsidRDefault="00B83B18" w:rsidP="00B83B18">
      <w:pPr>
        <w:widowControl/>
        <w:spacing w:after="150" w:line="240" w:lineRule="auto"/>
        <w:ind w:firstLine="480"/>
        <w:jc w:val="both"/>
        <w:rPr>
          <w:rFonts w:ascii="宋体" w:eastAsia="宋体" w:hAnsi="宋体" w:cs="宋体" w:hint="eastAsia"/>
          <w:color w:val="000000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附注：</w:t>
      </w:r>
    </w:p>
    <w:p w14:paraId="76016F35" w14:textId="77777777" w:rsidR="00B83B18" w:rsidRPr="00B83B18" w:rsidRDefault="00B83B18" w:rsidP="00B83B18">
      <w:pPr>
        <w:widowControl/>
        <w:numPr>
          <w:ilvl w:val="0"/>
          <w:numId w:val="17"/>
        </w:numPr>
        <w:spacing w:before="100" w:beforeAutospacing="1" w:after="75" w:line="240" w:lineRule="auto"/>
        <w:ind w:firstLine="480"/>
        <w:jc w:val="both"/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  <w:lastRenderedPageBreak/>
        <w:t>附件1：iNEST理论152系统交叉验证详细数据报告（另册）</w:t>
      </w:r>
    </w:p>
    <w:p w14:paraId="30144BF3" w14:textId="77777777" w:rsidR="00B83B18" w:rsidRPr="00B83B18" w:rsidRDefault="00B83B18" w:rsidP="00B83B18">
      <w:pPr>
        <w:widowControl/>
        <w:numPr>
          <w:ilvl w:val="0"/>
          <w:numId w:val="18"/>
        </w:numPr>
        <w:spacing w:before="100" w:beforeAutospacing="1" w:after="75" w:line="240" w:lineRule="auto"/>
        <w:ind w:firstLine="480"/>
        <w:jc w:val="both"/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  <w:t>附件2：邬江兴院士团队拟态防御产业化成果清单（另册）</w:t>
      </w:r>
    </w:p>
    <w:p w14:paraId="15B28152" w14:textId="77777777" w:rsidR="00B83B18" w:rsidRPr="00B83B18" w:rsidRDefault="00B83B18" w:rsidP="00B83B18">
      <w:pPr>
        <w:widowControl/>
        <w:numPr>
          <w:ilvl w:val="0"/>
          <w:numId w:val="19"/>
        </w:numPr>
        <w:spacing w:before="100" w:beforeAutospacing="1" w:after="75" w:line="240" w:lineRule="auto"/>
        <w:ind w:firstLine="480"/>
        <w:jc w:val="both"/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  <w:t>附件3：国际对标分析报告（DARPA、欧盟HBP、Cerebras等）（另册）</w:t>
      </w:r>
    </w:p>
    <w:p w14:paraId="7C17EAAC" w14:textId="77777777" w:rsidR="00B83B18" w:rsidRPr="00B83B18" w:rsidRDefault="00B83B18" w:rsidP="00B83B18">
      <w:pPr>
        <w:widowControl/>
        <w:numPr>
          <w:ilvl w:val="0"/>
          <w:numId w:val="20"/>
        </w:numPr>
        <w:spacing w:before="100" w:beforeAutospacing="1" w:after="75" w:line="240" w:lineRule="auto"/>
        <w:ind w:firstLine="480"/>
        <w:jc w:val="both"/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</w:pPr>
      <w:r w:rsidRPr="00B83B18">
        <w:rPr>
          <w:rFonts w:ascii="宋体" w:eastAsia="宋体" w:hAnsi="宋体" w:cs="宋体" w:hint="eastAsia"/>
          <w:color w:val="415462"/>
          <w:kern w:val="0"/>
          <w:sz w:val="32"/>
          <w:szCs w:val="32"/>
          <w14:ligatures w14:val="none"/>
        </w:rPr>
        <w:t>附件4：关键技术可行性论证报告（28nm工艺、晶圆级集成等）（另册）</w:t>
      </w:r>
    </w:p>
    <w:p w14:paraId="0BB043DB" w14:textId="77777777" w:rsidR="001115D0" w:rsidRPr="00B83B18" w:rsidRDefault="001115D0">
      <w:pPr>
        <w:rPr>
          <w:rFonts w:hint="eastAsia"/>
        </w:rPr>
      </w:pPr>
    </w:p>
    <w:sectPr w:rsidR="001115D0" w:rsidRPr="00B83B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1247C" w14:textId="77777777" w:rsidR="00803BA0" w:rsidRDefault="00803BA0" w:rsidP="00B83B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53589E" w14:textId="77777777" w:rsidR="00803BA0" w:rsidRDefault="00803BA0" w:rsidP="00B83B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3B02D" w14:textId="77777777" w:rsidR="00803BA0" w:rsidRDefault="00803BA0" w:rsidP="00B83B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AE29C3" w14:textId="77777777" w:rsidR="00803BA0" w:rsidRDefault="00803BA0" w:rsidP="00B83B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564AA"/>
    <w:multiLevelType w:val="multilevel"/>
    <w:tmpl w:val="4824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67D5A"/>
    <w:multiLevelType w:val="multilevel"/>
    <w:tmpl w:val="631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50AEE"/>
    <w:multiLevelType w:val="multilevel"/>
    <w:tmpl w:val="FB0A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16B77"/>
    <w:multiLevelType w:val="multilevel"/>
    <w:tmpl w:val="EC0A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787576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150385852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2021659518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657658344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204269996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61290275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254049784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457647302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588780688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1995834721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1599361480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1618683163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024556313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1629240859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1373921129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1368217239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1545478885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 w16cid:durableId="720707951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1839953188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 w16cid:durableId="1393852221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D7"/>
    <w:rsid w:val="001115D0"/>
    <w:rsid w:val="002709D7"/>
    <w:rsid w:val="00803BA0"/>
    <w:rsid w:val="00A22EF4"/>
    <w:rsid w:val="00B56E26"/>
    <w:rsid w:val="00B83B18"/>
    <w:rsid w:val="00C3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23F0807-4AC4-4263-942A-542077D6D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09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9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9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9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9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9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9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9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09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0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0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09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09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09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09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09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09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09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0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9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09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0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09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09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09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0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09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09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83B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83B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83B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83B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912</Words>
  <Characters>5203</Characters>
  <Application>Microsoft Office Word</Application>
  <DocSecurity>0</DocSecurity>
  <Lines>43</Lines>
  <Paragraphs>12</Paragraphs>
  <ScaleCrop>false</ScaleCrop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leo@csivo.com</dc:creator>
  <cp:keywords/>
  <dc:description/>
  <cp:lastModifiedBy>leo@csivo.com</cp:lastModifiedBy>
  <cp:revision>2</cp:revision>
  <dcterms:created xsi:type="dcterms:W3CDTF">2026-03-08T02:04:00Z</dcterms:created>
  <dcterms:modified xsi:type="dcterms:W3CDTF">2026-03-08T02:05:00Z</dcterms:modified>
</cp:coreProperties>
</file>