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</w:r>
    </w:p>
    <w:p>
      <w:pPr>
        <w:pStyle w:val="Title"/>
      </w:pPr>
      <w:r>
        <w:t>iNEST 项目指南：CST 与智涌脑代际路线</w:t>
      </w:r>
    </w:p>
    <w:p>
      <w:pPr>
        <w:pStyle w:val="IntenseQuote"/>
      </w:pPr>
      <w:r>
        <w:t>[!warning] 审批状态</w:t>
      </w:r>
    </w:p>
    <w:p>
      <w:pPr>
        <w:pStyle w:val="IntenseQuote"/>
      </w:pPr>
      <w:r>
        <w:t>本文件是对上传项目指南的技术修订稿，不替代原始 DOCX。Gen 时间为规划目标，不是已实现事实；任何 CST 映射、性能和规模目标必须经过验证任务后才能转为正式指标。</w:t>
      </w:r>
    </w:p>
    <w:p>
      <w:pPr>
        <w:pStyle w:val="Heading1"/>
      </w:pPr>
      <w:r>
        <w:t>1. 修订原则</w:t>
      </w:r>
    </w:p>
    <w:p>
      <w:pPr>
        <w:pStyle w:val="ListNumber"/>
      </w:pPr>
      <w:r>
        <w:t>CST v32 基线：`CST=(Sc × Tc) × exp(α × Γst)`。</w:t>
      </w:r>
    </w:p>
    <w:p>
      <w:pPr>
        <w:pStyle w:val="ListNumber"/>
      </w:pPr>
      <w:r>
        <w:t>理论归一化范围保持为 `0&lt;Sc,Tc≤1`、`Γst∈[-1,1]`；`α` 由实验标定，不能沿用未经验证的材料典型值。</w:t>
      </w:r>
    </w:p>
    <w:p>
      <w:pPr>
        <w:pStyle w:val="ListNumber"/>
      </w:pPr>
      <w:r>
        <w:t>2035 年达到 Gen5（通用智能能力目标）是规划节点，不是已实现事实；代际年份和能力命名以 iNEST4.html 为准。</w:t>
      </w:r>
    </w:p>
    <w:p>
      <w:pPr>
        <w:pStyle w:val="ListNumber"/>
      </w:pPr>
      <w:r>
        <w:t>TCC 原语统一为 TCC-16：R（Route）6 类、T（Transform）6 类、C（Control）4 类；TCC-11 为过时表述。</w:t>
      </w:r>
    </w:p>
    <w:p>
      <w:pPr>
        <w:pStyle w:val="ListNumber"/>
      </w:pPr>
      <w:r>
        <w:t>规模、良率、能效、阵列尺寸和 CST 阈值采用“指标定义 + 验证方法 + [待测]”写法。</w:t>
      </w:r>
    </w:p>
    <w:p>
      <w:pPr>
        <w:pStyle w:val="Heading1"/>
      </w:pPr>
      <w:r>
        <w:t>2. CST 指标口径</w:t>
      </w:r>
    </w:p>
    <w:p>
      <w:r>
        <w:t>原指南中的 `CST &gt; 1.0/2.0/3.2/5.0/8.0/13.0` 暂不作为正式阈值。能力等级应由可复现实验任务定义，并在 V-CST-06 中建立统计映射；CST 不作为单一能力证明。</w:t>
      </w:r>
    </w:p>
    <w:p>
      <w:pPr>
        <w:pStyle w:val="Heading1"/>
      </w:pPr>
      <w:r>
        <w:t>3. 智涌脑 Gen1–Gen5 路线（2035 目标）</w:t>
      </w:r>
    </w:p>
    <w:p>
      <w:pPr>
        <w:pStyle w:val="IntenseQuote"/>
      </w:pPr>
      <w:r>
        <w:t>`iNEST4.html` 作为唯一代际路线基准：Gen1(2027)、Gen2(2029)、Gen3(2031)、Gen4(2033)、Gen5(2035)、Gen6(2035+)。Gen5 纳入 2035 年通用智能目标验收，Gen6 保留为 2035 年之后的超级智能理论探索。</w:t>
      </w:r>
    </w:p>
    <w:p>
      <w:pPr>
        <w:pStyle w:val="Heading1"/>
      </w:pPr>
      <w:r>
        <w:t>4. 分阶段工作包</w:t>
      </w:r>
    </w:p>
    <w:p>
      <w:pPr>
        <w:pStyle w:val="Heading2"/>
      </w:pPr>
      <w:r>
        <w:t>WP1：理论与测量基线（Gen1，2027）</w:t>
      </w:r>
    </w:p>
    <w:p>
      <w:pPr>
        <w:pStyle w:val="ListBullet"/>
      </w:pPr>
      <w:r>
        <w:t>固化 CST v32 符号、归一化、采样协议和报告模板。</w:t>
      </w:r>
    </w:p>
    <w:p>
      <w:pPr>
        <w:pStyle w:val="ListBullet"/>
      </w:pPr>
      <w:r>
        <w:t>建立 TCC-16 的 R/T/C 编码、语义测试和最小参考实现。</w:t>
      </w:r>
    </w:p>
    <w:p>
      <w:pPr>
        <w:pStyle w:val="ListBullet"/>
      </w:pPr>
      <w:r>
        <w:t>建立材料、器件、网络和任务四层可追溯数据。</w:t>
      </w:r>
    </w:p>
    <w:p>
      <w:pPr>
        <w:pStyle w:val="Heading2"/>
      </w:pPr>
      <w:r>
        <w:t>WP2：器件与阵列闭环（Gen2，2029）</w:t>
      </w:r>
    </w:p>
    <w:p>
      <w:pPr>
        <w:pStyle w:val="ListBullet"/>
      </w:pPr>
      <w:r>
        <w:t>设计 SDI 化合键功能单元及仿真模型。</w:t>
      </w:r>
    </w:p>
    <w:p>
      <w:pPr>
        <w:pStyle w:val="ListBullet"/>
      </w:pPr>
      <w:r>
        <w:t>将 R/T/C 原语映射到物理操作，记录失败模式和边界条件。</w:t>
      </w:r>
    </w:p>
    <w:p>
      <w:pPr>
        <w:pStyle w:val="ListBullet"/>
      </w:pPr>
      <w:r>
        <w:t>建立材料参数 → 器件状态 → `Sc,Tc,Γst` 的审计链路。</w:t>
      </w:r>
    </w:p>
    <w:p>
      <w:pPr>
        <w:pStyle w:val="Heading2"/>
      </w:pPr>
      <w:r>
        <w:t>WP3：晶上系统与动态拓扑（Gen3，2031）</w:t>
      </w:r>
    </w:p>
    <w:p>
      <w:pPr>
        <w:pStyle w:val="ListBullet"/>
      </w:pPr>
      <w:r>
        <w:t>验证晶上互连、动态路由和控制闭环。</w:t>
      </w:r>
    </w:p>
    <w:p>
      <w:pPr>
        <w:pStyle w:val="ListBullet"/>
      </w:pPr>
      <w:r>
        <w:t>开发编译器、仿真器、调试器和指标采集接口。</w:t>
      </w:r>
    </w:p>
    <w:p>
      <w:pPr>
        <w:pStyle w:val="ListBullet"/>
      </w:pPr>
      <w:r>
        <w:t>以任务级基准比较路线，不提前填写提升倍数。</w:t>
      </w:r>
    </w:p>
    <w:p>
      <w:pPr>
        <w:pStyle w:val="Heading2"/>
      </w:pPr>
      <w:r>
        <w:t>WP4：Gen4 创造智能工程化验证（2033）</w:t>
      </w:r>
    </w:p>
    <w:p>
      <w:pPr>
        <w:pStyle w:val="ListBullet"/>
      </w:pPr>
      <w:r>
        <w:t>定义跨域、持续学习、工具使用和安全/可解释性任务。</w:t>
      </w:r>
    </w:p>
    <w:p>
      <w:pPr>
        <w:pStyle w:val="ListBullet"/>
      </w:pPr>
      <w:r>
        <w:t>跨任务、跨硬件配置、跨随机种子和独立团队复现。</w:t>
      </w:r>
    </w:p>
    <w:p>
      <w:pPr>
        <w:pStyle w:val="ListBullet"/>
      </w:pPr>
      <w:r>
        <w:t>只有通过预注册验收标准，才可报告 AGI 能力目标达成。</w:t>
      </w:r>
    </w:p>
    <w:p>
      <w:pPr>
        <w:pStyle w:val="Heading2"/>
      </w:pPr>
      <w:r>
        <w:t>WP5：Gen5 通用智能目标验证（2035）</w:t>
      </w:r>
    </w:p>
    <w:p>
      <w:pPr>
        <w:pStyle w:val="ListBullet"/>
      </w:pPr>
      <w:r>
        <w:t>定义跨域、持续学习、工具使用和安全/可解释性任务。</w:t>
      </w:r>
    </w:p>
    <w:p>
      <w:pPr>
        <w:pStyle w:val="ListBullet"/>
      </w:pPr>
      <w:r>
        <w:t>跨任务、跨硬件配置、跨随机种子和独立团队复现。</w:t>
      </w:r>
    </w:p>
    <w:p>
      <w:pPr>
        <w:pStyle w:val="ListBullet"/>
      </w:pPr>
      <w:r>
        <w:t>只有通过预注册验收标准，才可报告通用智能能力目标达成。</w:t>
      </w:r>
    </w:p>
    <w:p>
      <w:pPr>
        <w:pStyle w:val="Heading1"/>
      </w:pPr>
      <w:r>
        <w:t>5. 验证任务</w:t>
      </w:r>
    </w:p>
    <w:p>
      <w:pPr>
        <w:pStyle w:val="Heading1"/>
      </w:pPr>
      <w:r>
        <w:t>6. 待审批事项</w:t>
      </w:r>
    </w:p>
    <w:p>
      <w:pPr>
        <w:pStyle w:val="ListNumber"/>
      </w:pPr>
      <w:r>
        <w:t>确认 Gen1–Gen5 年份窗口及“Gen5=2035 通用智能能力目标”。</w:t>
      </w:r>
    </w:p>
    <w:p>
      <w:pPr>
        <w:pStyle w:val="ListNumber"/>
      </w:pPr>
      <w:r>
        <w:t>确认 CST v32 公式和归一化范围，不把历史阈值表作为正式结果。</w:t>
      </w:r>
    </w:p>
    <w:p>
      <w:pPr>
        <w:pStyle w:val="ListNumber"/>
      </w:pPr>
      <w:r>
        <w:t>确认 TCC-16（R6/T6/C4）为唯一架构基线。</w:t>
      </w:r>
    </w:p>
    <w:p>
      <w:pPr>
        <w:pStyle w:val="ListNumber"/>
      </w:pPr>
      <w:r>
        <w:t>确认 V-CST-01 至 V-GEN-01 写入研发看板。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