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07" w:type="dxa"/>
        <w:tblInd w:w="52" w:type="dxa"/>
        <w:tblLayout w:type="fixed"/>
        <w:tblCellMar>
          <w:left w:w="27" w:type="dxa"/>
          <w:right w:w="27" w:type="dxa"/>
        </w:tblCellMar>
        <w:tblLook w:val="0000" w:firstRow="0" w:lastRow="0" w:firstColumn="0" w:lastColumn="0" w:noHBand="0" w:noVBand="0"/>
      </w:tblPr>
      <w:tblGrid>
        <w:gridCol w:w="9473"/>
        <w:gridCol w:w="567"/>
        <w:gridCol w:w="567"/>
      </w:tblGrid>
      <w:tr w:rsidR="005E562D" w:rsidRPr="00ED446A" w14:paraId="7E5AE419" w14:textId="77777777" w:rsidTr="00FC7F8D">
        <w:trPr>
          <w:trHeight w:val="281"/>
        </w:trPr>
        <w:tc>
          <w:tcPr>
            <w:tcW w:w="1060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2E90A6C7" w14:textId="77777777" w:rsidR="005E562D" w:rsidRPr="00ED446A" w:rsidRDefault="005E562D" w:rsidP="00FC7F8D">
            <w:pPr>
              <w:jc w:val="center"/>
              <w:rPr>
                <w:rFonts w:cstheme="minorHAnsi"/>
                <w:b/>
                <w:sz w:val="28"/>
              </w:rPr>
            </w:pPr>
            <w:r w:rsidRPr="00ED446A">
              <w:rPr>
                <w:rFonts w:cstheme="minorHAnsi"/>
                <w:b/>
                <w:sz w:val="28"/>
              </w:rPr>
              <w:t>Objectifs d'apprentissage</w:t>
            </w:r>
          </w:p>
        </w:tc>
      </w:tr>
      <w:tr w:rsidR="005E562D" w:rsidRPr="00ED446A" w14:paraId="4BC9BBD7" w14:textId="77777777" w:rsidTr="00FC7F8D">
        <w:trPr>
          <w:trHeight w:val="161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7FEDA20B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5A6E6FB7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1"/>
              </w:rPr>
            </w:pPr>
            <w:r w:rsidRPr="00ED446A">
              <w:rPr>
                <w:rFonts w:cstheme="minorHAnsi"/>
                <w:sz w:val="20"/>
                <w:szCs w:val="21"/>
              </w:rPr>
              <w:t>Oui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59C092B9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1"/>
              </w:rPr>
            </w:pPr>
            <w:r w:rsidRPr="00ED446A">
              <w:rPr>
                <w:rFonts w:cstheme="minorHAnsi"/>
                <w:sz w:val="20"/>
                <w:szCs w:val="21"/>
              </w:rPr>
              <w:t>Non</w:t>
            </w:r>
          </w:p>
        </w:tc>
      </w:tr>
      <w:tr w:rsidR="005E562D" w:rsidRPr="00ED446A" w14:paraId="1CAC93AA" w14:textId="77777777" w:rsidTr="00FC7F8D">
        <w:trPr>
          <w:trHeight w:val="1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153811E2" w14:textId="77777777" w:rsidR="005E562D" w:rsidRDefault="005E562D" w:rsidP="00FC7F8D">
            <w:pPr>
              <w:rPr>
                <w:rFonts w:cstheme="minorHAnsi"/>
                <w:b/>
                <w:sz w:val="20"/>
                <w:szCs w:val="20"/>
              </w:rPr>
            </w:pPr>
            <w:r w:rsidRPr="00ED446A">
              <w:rPr>
                <w:rFonts w:cstheme="minorHAnsi"/>
                <w:b/>
                <w:bCs/>
                <w:sz w:val="24"/>
                <w:szCs w:val="21"/>
              </w:rPr>
              <w:t>Je sais définir</w:t>
            </w:r>
            <w:r w:rsidRPr="00ED446A">
              <w:rPr>
                <w:rFonts w:cstheme="minorHAnsi"/>
                <w:sz w:val="24"/>
                <w:szCs w:val="21"/>
              </w:rPr>
              <w:t> </w:t>
            </w:r>
            <w:r w:rsidRPr="00222E3E">
              <w:rPr>
                <w:rFonts w:cstheme="minorHAnsi"/>
                <w:sz w:val="20"/>
                <w:szCs w:val="20"/>
              </w:rPr>
              <w:t>:</w:t>
            </w:r>
            <w:r w:rsidRPr="00222E3E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2312B85C" w14:textId="0010C9F5" w:rsidR="005E562D" w:rsidRPr="005A5126" w:rsidRDefault="000674CE" w:rsidP="000674CE">
            <w:pPr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Avantage absolu ; a</w:t>
            </w:r>
            <w:r w:rsidRPr="000674CE">
              <w:rPr>
                <w:rFonts w:cstheme="minorHAnsi"/>
                <w:szCs w:val="21"/>
              </w:rPr>
              <w:t>vantages comparatifs</w:t>
            </w:r>
            <w:r>
              <w:rPr>
                <w:rFonts w:cstheme="minorHAnsi"/>
                <w:szCs w:val="21"/>
              </w:rPr>
              <w:t> ; chaîne de valeur ; commerce international ; compétitivité ; compétitivité prix ; compétitivité hors prix ;</w:t>
            </w:r>
            <w:r w:rsidR="0022443A">
              <w:rPr>
                <w:rFonts w:cstheme="minorHAnsi"/>
                <w:szCs w:val="21"/>
              </w:rPr>
              <w:t xml:space="preserve"> </w:t>
            </w:r>
            <w:r>
              <w:rPr>
                <w:rFonts w:cstheme="minorHAnsi"/>
                <w:szCs w:val="21"/>
              </w:rPr>
              <w:t>d</w:t>
            </w:r>
            <w:r w:rsidRPr="000674CE">
              <w:rPr>
                <w:rFonts w:cstheme="minorHAnsi"/>
                <w:szCs w:val="21"/>
              </w:rPr>
              <w:t>otations factorielles</w:t>
            </w:r>
            <w:r>
              <w:rPr>
                <w:rFonts w:cstheme="minorHAnsi"/>
                <w:szCs w:val="21"/>
              </w:rPr>
              <w:t> ; d</w:t>
            </w:r>
            <w:r w:rsidRPr="000674CE">
              <w:rPr>
                <w:rFonts w:cstheme="minorHAnsi"/>
                <w:szCs w:val="21"/>
              </w:rPr>
              <w:t>otations technologiques</w:t>
            </w:r>
            <w:r>
              <w:rPr>
                <w:rFonts w:cstheme="minorHAnsi"/>
                <w:szCs w:val="21"/>
              </w:rPr>
              <w:t> ; d</w:t>
            </w:r>
            <w:r w:rsidRPr="000674CE">
              <w:rPr>
                <w:rFonts w:cstheme="minorHAnsi"/>
                <w:szCs w:val="21"/>
              </w:rPr>
              <w:t>ifférenciation des produits</w:t>
            </w:r>
            <w:r>
              <w:rPr>
                <w:rFonts w:cstheme="minorHAnsi"/>
                <w:szCs w:val="21"/>
              </w:rPr>
              <w:t xml:space="preserve"> ; </w:t>
            </w:r>
            <w:r w:rsidR="0022443A">
              <w:rPr>
                <w:rFonts w:cstheme="minorHAnsi"/>
                <w:szCs w:val="21"/>
              </w:rPr>
              <w:t xml:space="preserve">dumping environnemental ; dumping social ; fragmentation internationale de la chaîne de valeur ; </w:t>
            </w:r>
            <w:r w:rsidR="005D73AF">
              <w:rPr>
                <w:rFonts w:cstheme="minorHAnsi"/>
                <w:szCs w:val="21"/>
              </w:rPr>
              <w:t xml:space="preserve">IDE ; </w:t>
            </w:r>
            <w:r>
              <w:rPr>
                <w:rFonts w:cstheme="minorHAnsi"/>
                <w:szCs w:val="21"/>
              </w:rPr>
              <w:t>libre-échange ; mondialisation ; q</w:t>
            </w:r>
            <w:r w:rsidRPr="000674CE">
              <w:rPr>
                <w:rFonts w:cstheme="minorHAnsi"/>
                <w:szCs w:val="21"/>
              </w:rPr>
              <w:t>ualité des produits</w:t>
            </w:r>
            <w:r>
              <w:rPr>
                <w:rFonts w:cstheme="minorHAnsi"/>
                <w:szCs w:val="21"/>
              </w:rPr>
              <w:t> ; p</w:t>
            </w:r>
            <w:r w:rsidRPr="000674CE">
              <w:rPr>
                <w:rFonts w:cstheme="minorHAnsi"/>
                <w:szCs w:val="21"/>
              </w:rPr>
              <w:t>roductivité</w:t>
            </w:r>
            <w:r>
              <w:rPr>
                <w:rFonts w:cstheme="minorHAnsi"/>
                <w:szCs w:val="21"/>
              </w:rPr>
              <w:t> ; protectionnisme ; spécialisation internationale</w:t>
            </w:r>
            <w:r w:rsidR="0022443A">
              <w:rPr>
                <w:rFonts w:cstheme="minorHAnsi"/>
                <w:szCs w:val="21"/>
              </w:rPr>
              <w:t> ; théorème HOS</w:t>
            </w:r>
            <w:r w:rsidR="00A350A3">
              <w:rPr>
                <w:rFonts w:cstheme="minorHAnsi"/>
                <w:szCs w:val="21"/>
              </w:rPr>
              <w:t>.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2037702C" w14:textId="53BA6308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09D71E28" w14:textId="385FF15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</w:tr>
      <w:tr w:rsidR="005E562D" w:rsidRPr="00ED446A" w14:paraId="287DFD69" w14:textId="77777777" w:rsidTr="00FC7F8D">
        <w:trPr>
          <w:trHeight w:val="1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23A99DE7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  <w:r w:rsidRPr="00ED446A">
              <w:rPr>
                <w:rFonts w:cstheme="minorHAnsi"/>
                <w:b/>
                <w:bCs/>
                <w:sz w:val="24"/>
                <w:szCs w:val="21"/>
              </w:rPr>
              <w:t>Je sais distinguer</w:t>
            </w:r>
            <w:r w:rsidRPr="00ED446A">
              <w:rPr>
                <w:rFonts w:cstheme="minorHAnsi"/>
                <w:sz w:val="24"/>
                <w:szCs w:val="21"/>
              </w:rPr>
              <w:t> </w:t>
            </w:r>
            <w:r w:rsidRPr="00ED446A">
              <w:rPr>
                <w:rFonts w:cstheme="minorHAnsi"/>
                <w:sz w:val="20"/>
                <w:szCs w:val="21"/>
              </w:rPr>
              <w:t xml:space="preserve">: </w:t>
            </w:r>
          </w:p>
          <w:p w14:paraId="51992690" w14:textId="14FEC008" w:rsidR="005E562D" w:rsidRDefault="0022443A" w:rsidP="00FC7F8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 w:val="0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Avantages absolus, avantages comparatifs et théorème HOS</w:t>
            </w:r>
            <w:r w:rsidR="00A350A3">
              <w:rPr>
                <w:rFonts w:cstheme="minorHAnsi"/>
                <w:szCs w:val="21"/>
              </w:rPr>
              <w:t>.</w:t>
            </w:r>
          </w:p>
          <w:p w14:paraId="2AB5386F" w14:textId="77777777" w:rsidR="00A350A3" w:rsidRDefault="00A350A3" w:rsidP="00FC7F8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 w:val="0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Différenciation horizontale et différenciation verticale.</w:t>
            </w:r>
          </w:p>
          <w:p w14:paraId="28EAFE07" w14:textId="77777777" w:rsidR="00034314" w:rsidRDefault="00034314" w:rsidP="00FC7F8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 w:val="0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 xml:space="preserve">Compétitivité prix et compétitivité hors-prix. </w:t>
            </w:r>
          </w:p>
          <w:p w14:paraId="5674BAC2" w14:textId="7A018CD4" w:rsidR="005D73AF" w:rsidRDefault="005D73AF" w:rsidP="00FC7F8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 w:val="0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 xml:space="preserve">Filiale atelier et filiale relais. </w:t>
            </w:r>
          </w:p>
          <w:p w14:paraId="14F6FE49" w14:textId="767341EC" w:rsidR="005D73AF" w:rsidRPr="005A5126" w:rsidRDefault="005D73AF" w:rsidP="00FC7F8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 w:val="0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IDE et sous-traitant.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6285F77B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48741608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</w:tr>
      <w:tr w:rsidR="005E562D" w:rsidRPr="00ED446A" w14:paraId="6893A127" w14:textId="77777777" w:rsidTr="00FC7F8D">
        <w:trPr>
          <w:trHeight w:val="3220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19E80665" w14:textId="77777777" w:rsidR="00C8079C" w:rsidRDefault="005E562D" w:rsidP="00C8079C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446A">
              <w:rPr>
                <w:rFonts w:cstheme="minorHAnsi"/>
                <w:b/>
                <w:bCs/>
                <w:sz w:val="24"/>
                <w:szCs w:val="21"/>
              </w:rPr>
              <w:t>Je sais expliquer</w:t>
            </w:r>
            <w:r w:rsidRPr="00ED446A">
              <w:rPr>
                <w:rFonts w:cstheme="minorHAnsi"/>
                <w:sz w:val="24"/>
                <w:szCs w:val="21"/>
              </w:rPr>
              <w:t> </w:t>
            </w:r>
            <w:r w:rsidRPr="00ED446A">
              <w:rPr>
                <w:rFonts w:cstheme="minorHAnsi"/>
                <w:sz w:val="20"/>
                <w:szCs w:val="21"/>
              </w:rPr>
              <w:t xml:space="preserve">: </w:t>
            </w:r>
          </w:p>
          <w:p w14:paraId="7D0C46D5" w14:textId="1695ED9C" w:rsidR="0022443A" w:rsidRPr="00C8079C" w:rsidRDefault="0022443A" w:rsidP="00C8079C">
            <w:pPr>
              <w:pStyle w:val="Paragraphedeliste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C8079C">
              <w:rPr>
                <w:rFonts w:cstheme="minorHAnsi"/>
                <w:sz w:val="20"/>
                <w:szCs w:val="20"/>
              </w:rPr>
              <w:t>Qu’Adam Smith explique l</w:t>
            </w:r>
            <w:r w:rsidR="00C8079C" w:rsidRPr="00C8079C">
              <w:rPr>
                <w:rFonts w:cstheme="minorHAnsi"/>
                <w:sz w:val="20"/>
                <w:szCs w:val="20"/>
              </w:rPr>
              <w:t xml:space="preserve">a spécialisation </w:t>
            </w:r>
            <w:r w:rsidRPr="00C8079C">
              <w:rPr>
                <w:rFonts w:cstheme="minorHAnsi"/>
                <w:sz w:val="20"/>
                <w:szCs w:val="20"/>
              </w:rPr>
              <w:t>à travers la théorie des avantages absolus.</w:t>
            </w:r>
          </w:p>
          <w:p w14:paraId="658C3192" w14:textId="77777777" w:rsidR="00185ADD" w:rsidRDefault="00C8079C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David Ricardo explique la spécialisation à travers la théorie des avantages comparatifs</w:t>
            </w:r>
          </w:p>
          <w:p w14:paraId="0C0CB4F8" w14:textId="77777777" w:rsidR="00C8079C" w:rsidRDefault="00C8079C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Que Eli Heckscher, Bertil Ohlin et Paul Samuelson explique la spécialisation à travers le théorème HOS. </w:t>
            </w:r>
          </w:p>
          <w:p w14:paraId="6C70FCBF" w14:textId="77777777" w:rsidR="00C8079C" w:rsidRDefault="00C8079C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la spécialisation permet une meilleure allocation des facteurs de production et donc des gains à l’échange</w:t>
            </w:r>
          </w:p>
          <w:p w14:paraId="66101328" w14:textId="77777777" w:rsidR="00C8079C" w:rsidRDefault="00C8079C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Le commerce international entre pays comparable.</w:t>
            </w:r>
          </w:p>
          <w:p w14:paraId="6C8615A0" w14:textId="77777777" w:rsidR="00C8079C" w:rsidRDefault="00C8079C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 commerce intrabranche occupe une place importante dans le commerce international.</w:t>
            </w:r>
          </w:p>
          <w:p w14:paraId="25157DC4" w14:textId="77777777" w:rsidR="00C8079C" w:rsidRDefault="00A350A3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Pourquoi il y a une concurrence monopolistique en cas de différenciation horizontale.</w:t>
            </w:r>
          </w:p>
          <w:p w14:paraId="0D4BA9BA" w14:textId="77777777" w:rsidR="00A350A3" w:rsidRDefault="00A350A3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 commerce entre pays comparable s’explique par les différences de goût de consommateur.</w:t>
            </w:r>
          </w:p>
          <w:p w14:paraId="4A94F203" w14:textId="2516818D" w:rsidR="00A350A3" w:rsidRDefault="00E30432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les pays comparables ont intérêt à échanger pour augmenter la satisfaction des consommateurs.</w:t>
            </w:r>
          </w:p>
          <w:p w14:paraId="67C09BCD" w14:textId="77777777" w:rsidR="00E30432" w:rsidRDefault="00E30432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l’ouverture au commerce international engendre des gains pour les entreprises</w:t>
            </w:r>
            <w:r w:rsidR="004671D6">
              <w:rPr>
                <w:rFonts w:cstheme="minorHAnsi"/>
                <w:sz w:val="20"/>
                <w:szCs w:val="20"/>
              </w:rPr>
              <w:t xml:space="preserve"> et les consommateurs. </w:t>
            </w:r>
          </w:p>
          <w:p w14:paraId="684C947B" w14:textId="77777777" w:rsidR="004671D6" w:rsidRDefault="004671D6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la différenciation verticale des produits expliquer les échanges de produits similaires entre pays comparables.</w:t>
            </w:r>
          </w:p>
          <w:p w14:paraId="1D5D7DD1" w14:textId="77777777" w:rsidR="004671D6" w:rsidRDefault="004671D6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Pourquoi les entreprises font recours à la fragmentation de la chaîne de valeur. </w:t>
            </w:r>
          </w:p>
          <w:p w14:paraId="744BEDA5" w14:textId="77777777" w:rsidR="004671D6" w:rsidRDefault="004671D6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Que la productivité des firmes est à l’origine de la compétitivité d’un pays. </w:t>
            </w:r>
          </w:p>
          <w:p w14:paraId="65F9A000" w14:textId="77777777" w:rsidR="005B5CF7" w:rsidRDefault="00034314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</w:t>
            </w:r>
            <w:r w:rsidR="005B5CF7">
              <w:rPr>
                <w:rFonts w:cstheme="minorHAnsi"/>
                <w:sz w:val="20"/>
                <w:szCs w:val="20"/>
              </w:rPr>
              <w:t xml:space="preserve"> l’ouverture au commerce international renforce la productivité moyenne des entreprises. </w:t>
            </w:r>
          </w:p>
          <w:p w14:paraId="59E72810" w14:textId="015B8BB0" w:rsidR="00034314" w:rsidRDefault="005B5CF7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 commerce international fait disparaître les entreprises les moins productives et les plus productives voient leur profit augmenter.</w:t>
            </w:r>
          </w:p>
          <w:p w14:paraId="5964ECA7" w14:textId="77777777" w:rsidR="005B5CF7" w:rsidRDefault="005B5CF7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 commerce agit sur l’incitation à innover à travers deux effets (marché et concurrence)</w:t>
            </w:r>
          </w:p>
          <w:p w14:paraId="3F7341B7" w14:textId="77777777" w:rsidR="005B5CF7" w:rsidRDefault="005D73AF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L’internationalisation de la chaîne de valeur, les conditions et les stratégies.</w:t>
            </w:r>
          </w:p>
          <w:p w14:paraId="25F305BA" w14:textId="77777777" w:rsidR="005D73AF" w:rsidRDefault="005D73AF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 commerce international génère des gains pour les acheteurs par les différents canaux.</w:t>
            </w:r>
          </w:p>
          <w:p w14:paraId="0AA163E7" w14:textId="75C86F7D" w:rsidR="005D73AF" w:rsidRDefault="005D73AF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 commerce international mène à une réduction générale des inégalités avec une réduction des inégalités au sein des pays mais une augmentation des inégalités entre les pays.</w:t>
            </w:r>
          </w:p>
          <w:p w14:paraId="602D32AB" w14:textId="6B1CE754" w:rsidR="005D73AF" w:rsidRPr="0022443A" w:rsidRDefault="005D73AF" w:rsidP="0022443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Le débat entre libre-échange et protectionnisme, avec les perdants et les gagnants de la mondialisation.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40FDB2F2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5FC6CC2C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</w:tr>
      <w:tr w:rsidR="005E562D" w:rsidRPr="00ED446A" w14:paraId="17904E13" w14:textId="77777777" w:rsidTr="00FC7F8D">
        <w:trPr>
          <w:trHeight w:val="728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78D42116" w14:textId="76DD1201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  <w:r>
              <w:rPr>
                <w:rFonts w:cstheme="minorHAnsi"/>
                <w:b/>
                <w:bCs/>
                <w:sz w:val="24"/>
                <w:szCs w:val="21"/>
              </w:rPr>
              <w:t xml:space="preserve">Les parties que je souhaite revoir : </w:t>
            </w:r>
          </w:p>
          <w:p w14:paraId="7D063BA1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732A8C3E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66EF8685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0E089D1F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7B806AF3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0893F16E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2EA1B3E5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0C7F351B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07250948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32E1B2AC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</w:tr>
    </w:tbl>
    <w:p w14:paraId="465F3253" w14:textId="77777777" w:rsidR="00DA7321" w:rsidRDefault="00DA7321"/>
    <w:sectPr w:rsidR="00DA7321" w:rsidSect="000B2FAD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3C567" w14:textId="77777777" w:rsidR="003B146C" w:rsidRDefault="003B146C" w:rsidP="00C00AB3">
      <w:r>
        <w:separator/>
      </w:r>
    </w:p>
  </w:endnote>
  <w:endnote w:type="continuationSeparator" w:id="0">
    <w:p w14:paraId="70E3A11F" w14:textId="77777777" w:rsidR="003B146C" w:rsidRDefault="003B146C" w:rsidP="00C00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989A1" w14:textId="62EF318A" w:rsidR="00DA64C2" w:rsidRDefault="00DA64C2">
    <w:pPr>
      <w:pStyle w:val="Pieddepage"/>
    </w:pPr>
    <w:r>
      <w:rPr>
        <w:b/>
        <w:bCs/>
        <w:noProof/>
        <w:color w:val="C00000"/>
        <w:sz w:val="28"/>
        <w:szCs w:val="36"/>
        <w14:ligatures w14:val="standardContextual"/>
      </w:rPr>
      <w:drawing>
        <wp:anchor distT="0" distB="0" distL="114300" distR="114300" simplePos="0" relativeHeight="251660288" behindDoc="0" locked="0" layoutInCell="1" allowOverlap="1" wp14:anchorId="0D4C5C9E" wp14:editId="3783B898">
          <wp:simplePos x="0" y="0"/>
          <wp:positionH relativeFrom="column">
            <wp:posOffset>6092190</wp:posOffset>
          </wp:positionH>
          <wp:positionV relativeFrom="paragraph">
            <wp:posOffset>-114935</wp:posOffset>
          </wp:positionV>
          <wp:extent cx="858520" cy="858520"/>
          <wp:effectExtent l="0" t="0" r="0" b="0"/>
          <wp:wrapNone/>
          <wp:docPr id="816778163" name="Image 2" descr="Une image contenant Graphique, Police, capture d’écran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379525" name="Image 2" descr="Une image contenant Graphique, Police, capture d’écran, conception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8520" cy="858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A988D" w14:textId="77777777" w:rsidR="003B146C" w:rsidRDefault="003B146C" w:rsidP="00C00AB3">
      <w:r>
        <w:separator/>
      </w:r>
    </w:p>
  </w:footnote>
  <w:footnote w:type="continuationSeparator" w:id="0">
    <w:p w14:paraId="344EF669" w14:textId="77777777" w:rsidR="003B146C" w:rsidRDefault="003B146C" w:rsidP="00C00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19E2" w14:textId="53422B51" w:rsidR="00DA7321" w:rsidRDefault="00DA7321" w:rsidP="00C00AB3">
    <w:pPr>
      <w:pStyle w:val="En-tte"/>
      <w:jc w:val="center"/>
      <w:rPr>
        <w:b/>
        <w:bCs/>
        <w:color w:val="C00000"/>
        <w:sz w:val="28"/>
        <w:szCs w:val="36"/>
      </w:rPr>
    </w:pPr>
    <w:r>
      <w:rPr>
        <w:b/>
        <w:bCs/>
        <w:noProof/>
        <w:color w:val="C00000"/>
        <w:sz w:val="28"/>
        <w:szCs w:val="36"/>
        <w14:ligatures w14:val="standardContextual"/>
      </w:rPr>
      <w:drawing>
        <wp:anchor distT="0" distB="0" distL="114300" distR="114300" simplePos="0" relativeHeight="251658240" behindDoc="0" locked="0" layoutInCell="1" allowOverlap="1" wp14:anchorId="2F43BA0C" wp14:editId="0603DDF0">
          <wp:simplePos x="0" y="0"/>
          <wp:positionH relativeFrom="column">
            <wp:posOffset>-299085</wp:posOffset>
          </wp:positionH>
          <wp:positionV relativeFrom="paragraph">
            <wp:posOffset>-554476</wp:posOffset>
          </wp:positionV>
          <wp:extent cx="858520" cy="858520"/>
          <wp:effectExtent l="0" t="0" r="0" b="0"/>
          <wp:wrapNone/>
          <wp:docPr id="592379525" name="Image 2" descr="Une image contenant Graphique, Police, capture d’écran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379525" name="Image 2" descr="Une image contenant Graphique, Police, capture d’écran, conception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8520" cy="858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95A71D" w14:textId="59A3246E" w:rsidR="00DA7321" w:rsidRPr="00C00AB3" w:rsidRDefault="00C00AB3" w:rsidP="00A87762">
    <w:pPr>
      <w:pStyle w:val="En-tte"/>
      <w:jc w:val="center"/>
      <w:rPr>
        <w:b/>
        <w:bCs/>
        <w:color w:val="C00000"/>
        <w:sz w:val="28"/>
        <w:szCs w:val="36"/>
      </w:rPr>
    </w:pPr>
    <w:r w:rsidRPr="00C00AB3">
      <w:rPr>
        <w:b/>
        <w:bCs/>
        <w:color w:val="C00000"/>
        <w:sz w:val="28"/>
        <w:szCs w:val="36"/>
      </w:rPr>
      <w:t xml:space="preserve">Chapitre </w:t>
    </w:r>
    <w:r w:rsidR="00DA7321">
      <w:rPr>
        <w:b/>
        <w:bCs/>
        <w:color w:val="C00000"/>
        <w:sz w:val="28"/>
        <w:szCs w:val="36"/>
      </w:rPr>
      <w:t>E</w:t>
    </w:r>
    <w:r w:rsidR="00A87762">
      <w:rPr>
        <w:b/>
        <w:bCs/>
        <w:color w:val="C00000"/>
        <w:sz w:val="28"/>
        <w:szCs w:val="36"/>
      </w:rPr>
      <w:t>2</w:t>
    </w:r>
    <w:r w:rsidR="00DA7321">
      <w:rPr>
        <w:b/>
        <w:bCs/>
        <w:color w:val="C00000"/>
        <w:sz w:val="28"/>
        <w:szCs w:val="36"/>
      </w:rPr>
      <w:t xml:space="preserve"> : </w:t>
    </w:r>
    <w:r w:rsidR="00A87762">
      <w:rPr>
        <w:b/>
        <w:bCs/>
        <w:color w:val="C00000"/>
        <w:sz w:val="28"/>
        <w:szCs w:val="36"/>
      </w:rPr>
      <w:t>Quels sont les fondements du commerce international et de l’internationalisation de la production ?</w:t>
    </w:r>
  </w:p>
  <w:p w14:paraId="1626902F" w14:textId="77777777" w:rsidR="00C00AB3" w:rsidRDefault="00C00AB3" w:rsidP="00DA64C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7126A"/>
    <w:multiLevelType w:val="hybridMultilevel"/>
    <w:tmpl w:val="54BAB5B0"/>
    <w:lvl w:ilvl="0" w:tplc="C4C8D6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018DC"/>
    <w:multiLevelType w:val="hybridMultilevel"/>
    <w:tmpl w:val="B32A0168"/>
    <w:lvl w:ilvl="0" w:tplc="6840D0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8705C"/>
    <w:multiLevelType w:val="hybridMultilevel"/>
    <w:tmpl w:val="A6E8C65C"/>
    <w:lvl w:ilvl="0" w:tplc="6840D0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775374">
    <w:abstractNumId w:val="1"/>
  </w:num>
  <w:num w:numId="2" w16cid:durableId="142743538">
    <w:abstractNumId w:val="2"/>
  </w:num>
  <w:num w:numId="3" w16cid:durableId="132207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AD"/>
    <w:rsid w:val="00023595"/>
    <w:rsid w:val="00034314"/>
    <w:rsid w:val="00061077"/>
    <w:rsid w:val="000674CE"/>
    <w:rsid w:val="000B2FAD"/>
    <w:rsid w:val="000C6E2E"/>
    <w:rsid w:val="00185ADD"/>
    <w:rsid w:val="001C4860"/>
    <w:rsid w:val="0022443A"/>
    <w:rsid w:val="00231659"/>
    <w:rsid w:val="002D408D"/>
    <w:rsid w:val="00313D84"/>
    <w:rsid w:val="003321B7"/>
    <w:rsid w:val="003B146C"/>
    <w:rsid w:val="004168A4"/>
    <w:rsid w:val="004671D6"/>
    <w:rsid w:val="005040E0"/>
    <w:rsid w:val="005B5CF7"/>
    <w:rsid w:val="005D100D"/>
    <w:rsid w:val="005D73AF"/>
    <w:rsid w:val="005E562D"/>
    <w:rsid w:val="00665853"/>
    <w:rsid w:val="006B6B2D"/>
    <w:rsid w:val="007370F8"/>
    <w:rsid w:val="007A6F7E"/>
    <w:rsid w:val="00837BC5"/>
    <w:rsid w:val="00851097"/>
    <w:rsid w:val="008D22C3"/>
    <w:rsid w:val="00A350A3"/>
    <w:rsid w:val="00A60181"/>
    <w:rsid w:val="00A87762"/>
    <w:rsid w:val="00A94257"/>
    <w:rsid w:val="00C00AB3"/>
    <w:rsid w:val="00C8079C"/>
    <w:rsid w:val="00CE3F1A"/>
    <w:rsid w:val="00D46CCD"/>
    <w:rsid w:val="00DA64C2"/>
    <w:rsid w:val="00DA7321"/>
    <w:rsid w:val="00DC26C1"/>
    <w:rsid w:val="00E30432"/>
    <w:rsid w:val="00E65873"/>
    <w:rsid w:val="00E6692B"/>
    <w:rsid w:val="00F4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5E5BE5"/>
  <w15:chartTrackingRefBased/>
  <w15:docId w15:val="{FF816322-FF11-9442-9B51-70A7E23C7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FAD"/>
    <w:pPr>
      <w:jc w:val="both"/>
    </w:pPr>
    <w:rPr>
      <w:kern w:val="0"/>
      <w:sz w:val="21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C48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030A0"/>
      <w:sz w:val="24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48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FF8AD8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2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2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2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2F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2F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2F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2F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4860"/>
    <w:rPr>
      <w:rFonts w:asciiTheme="majorHAnsi" w:eastAsiaTheme="majorEastAsia" w:hAnsiTheme="majorHAnsi" w:cstheme="majorBidi"/>
      <w:color w:val="7030A0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C4860"/>
    <w:rPr>
      <w:rFonts w:asciiTheme="majorHAnsi" w:eastAsiaTheme="majorEastAsia" w:hAnsiTheme="majorHAnsi" w:cstheme="majorBidi"/>
      <w:color w:val="FF8AD8"/>
      <w:sz w:val="22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B2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2FAD"/>
    <w:rPr>
      <w:rFonts w:eastAsiaTheme="majorEastAsia" w:cstheme="majorBidi"/>
      <w:i/>
      <w:iCs/>
      <w:color w:val="0F4761" w:themeColor="accent1" w:themeShade="BF"/>
      <w:sz w:val="21"/>
    </w:rPr>
  </w:style>
  <w:style w:type="character" w:customStyle="1" w:styleId="Titre5Car">
    <w:name w:val="Titre 5 Car"/>
    <w:basedOn w:val="Policepardfaut"/>
    <w:link w:val="Titre5"/>
    <w:uiPriority w:val="9"/>
    <w:semiHidden/>
    <w:rsid w:val="000B2FAD"/>
    <w:rPr>
      <w:rFonts w:eastAsiaTheme="majorEastAsia" w:cstheme="majorBidi"/>
      <w:color w:val="0F4761" w:themeColor="accent1" w:themeShade="BF"/>
      <w:sz w:val="21"/>
    </w:rPr>
  </w:style>
  <w:style w:type="character" w:customStyle="1" w:styleId="Titre6Car">
    <w:name w:val="Titre 6 Car"/>
    <w:basedOn w:val="Policepardfaut"/>
    <w:link w:val="Titre6"/>
    <w:uiPriority w:val="9"/>
    <w:semiHidden/>
    <w:rsid w:val="000B2FAD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0B2FAD"/>
    <w:rPr>
      <w:rFonts w:eastAsiaTheme="majorEastAsia" w:cstheme="majorBidi"/>
      <w:color w:val="595959" w:themeColor="text1" w:themeTint="A6"/>
      <w:sz w:val="21"/>
    </w:rPr>
  </w:style>
  <w:style w:type="character" w:customStyle="1" w:styleId="Titre8Car">
    <w:name w:val="Titre 8 Car"/>
    <w:basedOn w:val="Policepardfaut"/>
    <w:link w:val="Titre8"/>
    <w:uiPriority w:val="9"/>
    <w:semiHidden/>
    <w:rsid w:val="000B2FAD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0B2FAD"/>
    <w:rPr>
      <w:rFonts w:eastAsiaTheme="majorEastAsia" w:cstheme="majorBidi"/>
      <w:color w:val="272727" w:themeColor="text1" w:themeTint="D8"/>
      <w:sz w:val="21"/>
    </w:rPr>
  </w:style>
  <w:style w:type="paragraph" w:styleId="Titre">
    <w:name w:val="Title"/>
    <w:basedOn w:val="Normal"/>
    <w:next w:val="Normal"/>
    <w:link w:val="TitreCar"/>
    <w:uiPriority w:val="10"/>
    <w:qFormat/>
    <w:rsid w:val="000B2F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2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2F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2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2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2FAD"/>
    <w:rPr>
      <w:i/>
      <w:iCs/>
      <w:color w:val="404040" w:themeColor="text1" w:themeTint="BF"/>
      <w:sz w:val="21"/>
    </w:rPr>
  </w:style>
  <w:style w:type="paragraph" w:styleId="Paragraphedeliste">
    <w:name w:val="List Paragraph"/>
    <w:basedOn w:val="Normal"/>
    <w:uiPriority w:val="1"/>
    <w:qFormat/>
    <w:rsid w:val="000B2F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2F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2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2FAD"/>
    <w:rPr>
      <w:i/>
      <w:iCs/>
      <w:color w:val="0F4761" w:themeColor="accent1" w:themeShade="BF"/>
      <w:sz w:val="21"/>
    </w:rPr>
  </w:style>
  <w:style w:type="character" w:styleId="Rfrenceintense">
    <w:name w:val="Intense Reference"/>
    <w:basedOn w:val="Policepardfaut"/>
    <w:uiPriority w:val="32"/>
    <w:qFormat/>
    <w:rsid w:val="000B2FA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00AB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00AB3"/>
    <w:rPr>
      <w:kern w:val="0"/>
      <w:sz w:val="21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00AB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00AB3"/>
    <w:rPr>
      <w:kern w:val="0"/>
      <w:sz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434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PIETRINI</dc:creator>
  <cp:keywords/>
  <dc:description/>
  <cp:lastModifiedBy>ALICE PIETRINI</cp:lastModifiedBy>
  <cp:revision>2</cp:revision>
  <cp:lastPrinted>2025-04-20T08:46:00Z</cp:lastPrinted>
  <dcterms:created xsi:type="dcterms:W3CDTF">2025-04-23T13:23:00Z</dcterms:created>
  <dcterms:modified xsi:type="dcterms:W3CDTF">2025-04-23T13:23:00Z</dcterms:modified>
</cp:coreProperties>
</file>