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1B365D"/>
          <w:sz w:val="36"/>
        </w:rPr>
        <w:t>A Framework for Computational Optimization in Academic Literature Styling</w:t>
      </w:r>
    </w:p>
    <w:p>
      <w:pPr>
        <w:spacing w:after="80"/>
        <w:jc w:val="center"/>
      </w:pPr>
      <w:r>
        <w:rPr>
          <w:rFonts w:ascii="Times New Roman" w:hAnsi="Times New Roman"/>
          <w:b/>
          <w:sz w:val="22"/>
        </w:rPr>
        <w:t>Dr. Evelyn Vance, Prof. Marcus Thorne</w:t>
      </w:r>
    </w:p>
    <w:p>
      <w:pPr>
        <w:spacing w:after="480"/>
        <w:jc w:val="center"/>
      </w:pPr>
      <w:r>
        <w:rPr>
          <w:rFonts w:ascii="Times New Roman" w:hAnsi="Times New Roman"/>
          <w:i/>
          <w:color w:val="555555"/>
          <w:sz w:val="20"/>
        </w:rPr>
        <w:t>Department of Data Science &amp; Digital Typography, University of Research</w:t>
      </w:r>
    </w:p>
    <w:tbl>
      <w:tblPr>
        <w:tblW w:type="auto" w:w="0"/>
        <w:jc w:val="center"/>
        <w:tblLook w:firstColumn="1" w:firstRow="1" w:lastColumn="0" w:lastRow="0" w:noHBand="0" w:noVBand="1" w:val="04A0"/>
      </w:tblPr>
      <w:tblGrid>
        <w:gridCol w:w="9029"/>
      </w:tblGrid>
      <w:tr>
        <w:tc>
          <w:tcPr>
            <w:tcW w:type="dxa" w:w="9029"/>
            <w:tcMar>
              <w:top w:w="140" w:type="dxa"/>
              <w:bottom w:w="140" w:type="dxa"/>
              <w:left w:w="200" w:type="dxa"/>
              <w:right w:w="200" w:type="dxa"/>
            </w:tcMar>
            <w:shd w:val="clear" w:color="auto" w:fill="F4F6F9"/>
            <w:tcBorders>
              <w:left w:val="single" w:sz="24" w:space="0" w:color="1B365D"/>
              <w:top w:val="none"/>
              <w:bottom w:val="none"/>
              <w:right w:val="none"/>
            </w:tcBorders>
          </w:tcPr>
          <w:p>
            <w:pPr>
              <w:spacing w:after="80"/>
            </w:pPr>
            <w:r>
              <w:rPr>
                <w:rFonts w:ascii="Times New Roman" w:hAnsi="Times New Roman"/>
                <w:b/>
                <w:color w:val="1B365D"/>
                <w:sz w:val="22"/>
              </w:rPr>
              <w:t>Abstract</w:t>
            </w:r>
          </w:p>
          <w:p>
            <w:pPr>
              <w:spacing w:after="0" w:line="288" w:lineRule="auto"/>
              <w:jc w:val="both"/>
            </w:pPr>
            <w:r>
              <w:rPr>
                <w:rFonts w:ascii="Times New Roman" w:hAnsi="Times New Roman"/>
                <w:i/>
                <w:sz w:val="20"/>
              </w:rPr>
              <w:t>This document provides a highly structured, professionally tailored Microsoft Word template utilizing academic research standards. Grounded in computational typography, the layout conforms precisely to standard A4 geometry with exact 1-inch margins. The text elements feature rigorous grammar correction, seamless paragraph structuring, and clean hierarchical section divisions. A deep corporate navy is deployed sparingly for functional accenting across headings and structural breaks. This methodology optimizes cognitive processing and guarantees a publication-ready aesthetic for peer-reviewed literature submissions.</w:t>
            </w:r>
          </w:p>
        </w:tc>
      </w:tr>
    </w:tbl>
    <w:p>
      <w:pPr>
        <w:spacing w:after="360"/>
      </w:pPr>
    </w:p>
    <w:p>
      <w:pPr>
        <w:keepNext/>
        <w:spacing w:before="360" w:after="120"/>
        <w:pBdr>
          <w:bottom w:val="single" w:sz="6" w:space="4" w:color="1B365D"/>
        </w:pBdr>
      </w:pPr>
      <w:r>
        <w:rPr>
          <w:rFonts w:ascii="Times New Roman" w:hAnsi="Times New Roman"/>
          <w:b/>
          <w:color w:val="1B365D"/>
          <w:sz w:val="28"/>
        </w:rPr>
        <w:t>1. Introduction and Architectural Background</w:t>
      </w:r>
    </w:p>
    <w:p>
      <w:r>
        <w:t>Academic writing requires a rigorous focus on clarity, balance, and structured formatting to maximize knowledge transmission. When transitioning raw data or draft manuscripts into finalized research outputs, unstyled text frequently suffers from typographic irregularities, arbitrary line breaks, and underlying linguistic flaws. Grammatical precision and structural paragraphing form the foundational pillars of effective scientific discourse, converting disparate fragments into a continuous intellectual narrative.</w:t>
      </w:r>
    </w:p>
    <w:p>
      <w:r>
        <w:t>Furthermore, the physical geography of the page exerts a strong cognitive influence over the reader. By utilizing an engineered A4 layout with uniform margins and optimized line spacing, documents provide balanced visual breathing room. This template presents an exact framework executing structural engineering workflows over textual content, ensuring seamless compliance with world-class academic conventions.</w:t>
      </w:r>
    </w:p>
    <w:p>
      <w:pPr>
        <w:keepNext/>
        <w:spacing w:before="360" w:after="120"/>
        <w:pBdr>
          <w:bottom w:val="single" w:sz="6" w:space="4" w:color="1B365D"/>
        </w:pBdr>
      </w:pPr>
      <w:r>
        <w:rPr>
          <w:rFonts w:ascii="Times New Roman" w:hAnsi="Times New Roman"/>
          <w:b/>
          <w:color w:val="1B365D"/>
          <w:sz w:val="28"/>
        </w:rPr>
        <w:t>2. Structural Grammar Correction and Paragraph Engineering</w:t>
      </w:r>
    </w:p>
    <w:p>
      <w:r>
        <w:t>Our programmatic methodology targets grammatical incongruities, syntactical anomalies, and contextual spelling variations. Rather than relying on simple algorithmic substitutions, the correction process parses semantic intent to preserve the authorial voice while elevating the academic tone. This ensures that passive-aggressive phrasings or localized slang are normalized to objective, analytical representations.</w:t>
      </w:r>
    </w:p>
    <w:p>
      <w:pPr>
        <w:keepNext/>
        <w:spacing w:before="240" w:after="80"/>
      </w:pPr>
      <w:r>
        <w:rPr>
          <w:rFonts w:ascii="Times New Roman" w:hAnsi="Times New Roman"/>
          <w:b/>
          <w:color w:val="4A5568"/>
          <w:sz w:val="24"/>
        </w:rPr>
        <w:t>2.1 Document Layout Metrics and Geometric Constraints</w:t>
      </w:r>
    </w:p>
    <w:p>
      <w:r>
        <w:t>Paragraph engineering enforces structural breaks dynamically whenever a shift in theoretical focus occurs. Instead of giant, imposing blocks of dense text, contents are cleanly compartmentalized into thematic units with explicit vertical margins. This structure minimizes visual fatigue and aids cross-disciplinary citations and reference lookup tables during heavy literature reviews.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