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F495A8">
      <w:pPr>
        <w:pStyle w:val="13"/>
      </w:pPr>
      <w:r>
        <w:t>CCST9012 Tutorial Week 6</w:t>
      </w:r>
    </w:p>
    <w:p w14:paraId="3FBFB97B">
      <w:pPr>
        <w:pStyle w:val="12"/>
      </w:pPr>
      <w:r>
        <w:t>Scale of the Universe, The Sun Leads the Dance</w:t>
      </w:r>
    </w:p>
    <w:p w14:paraId="401A94DF"/>
    <w:p w14:paraId="3AEE3115">
      <w:pPr>
        <w:pStyle w:val="2"/>
      </w:pPr>
      <w:r>
        <w:t>Scale of the Universe</w:t>
      </w:r>
    </w:p>
    <w:p w14:paraId="0DA20CA1">
      <w:r>
        <w:t xml:space="preserve">In Ptolemy’s geocentric model for planetary motion, the size of each planet’s deferent circle cannot be determined through observations, only the relative sizes of the epicycle and deferent circles. </w:t>
      </w:r>
    </w:p>
    <w:p w14:paraId="61BA2FA3">
      <w:r>
        <w:t xml:space="preserve">In the interactive applets provided, the Epicycle Size parameter is determined in terms of the size of the deferent circle, (if Epicycle Size = 0.5, then the radius of the epicycle is 0.5 times the radius of the deferent).  When you adjust the Deferent Size, the Epicycle will scale with it. </w:t>
      </w:r>
    </w:p>
    <w:p w14:paraId="04D5235E">
      <w:r>
        <w:t xml:space="preserve">We will demonstrate that this is so by observing the Planet’s zodiac as you change the Deferent Size using the Epicycle model we used in Tutorial Week 5. </w:t>
      </w:r>
    </w:p>
    <w:p w14:paraId="52929FF1">
      <w:pPr>
        <w:rPr>
          <w:b/>
          <w:bCs/>
        </w:rPr>
      </w:pPr>
      <w:r>
        <w:t>Choose Epicycle Size = 0.5 and Epicycle Period = 0.25. Move</w:t>
      </w:r>
      <w:r>
        <w:rPr>
          <w:rFonts w:hint="eastAsia"/>
          <w:lang w:val="en-US" w:eastAsia="zh-CN"/>
        </w:rPr>
        <w:t xml:space="preserve"> deferent angle</w:t>
      </w:r>
      <w:r>
        <w:t xml:space="preserve"> all the way to the Left.  Move the Epicycle Angle to a halfway position, such that the planet is as near to the Earth as is possible. Click Animate.</w:t>
      </w:r>
      <w:r>
        <w:rPr>
          <w:b/>
          <w:bCs/>
        </w:rPr>
        <w:t xml:space="preserve"> </w:t>
      </w:r>
    </w:p>
    <w:p w14:paraId="2E239D60">
      <w:pPr>
        <w:rPr>
          <w:b w:val="0"/>
          <w:bCs w:val="0"/>
        </w:rPr>
      </w:pPr>
      <w:r>
        <w:rPr>
          <w:b/>
          <w:bCs/>
        </w:rPr>
        <w:t>Q1. How many retrograde motions occur with each tropical period and in which constellations they are centered?</w:t>
      </w:r>
    </w:p>
    <w:p w14:paraId="509208D7">
      <w:pPr>
        <w:rPr>
          <w:rFonts w:hint="default" w:eastAsiaTheme="minorEastAsia"/>
          <w:b w:val="0"/>
          <w:bCs w:val="0"/>
          <w:lang w:val="en-US" w:eastAsia="zh-CN"/>
        </w:rPr>
      </w:pPr>
      <w:r>
        <w:rPr>
          <w:rFonts w:hint="eastAsia"/>
          <w:b w:val="0"/>
          <w:bCs w:val="0"/>
          <w:lang w:val="en-US" w:eastAsia="zh-CN"/>
        </w:rPr>
        <w:t>Three.</w:t>
      </w:r>
    </w:p>
    <w:p w14:paraId="226C770C">
      <w:pPr>
        <w:rPr>
          <w:b/>
          <w:bCs/>
        </w:rPr>
      </w:pPr>
    </w:p>
    <w:p w14:paraId="7E998402">
      <w:pPr>
        <w:rPr>
          <w:b/>
          <w:bCs/>
        </w:rPr>
      </w:pPr>
      <w:r>
        <w:rPr>
          <w:b/>
          <w:bCs/>
        </w:rPr>
        <w:t>Q2. Move the Deferent Size slider as you wish and repeat the exercise from Q1.  Did your answer change?</w:t>
      </w:r>
    </w:p>
    <w:p w14:paraId="6E16692B">
      <w:pPr>
        <w:rPr>
          <w:rFonts w:hint="default" w:eastAsiaTheme="minorEastAsia"/>
          <w:b w:val="0"/>
          <w:bCs w:val="0"/>
          <w:lang w:val="en-US" w:eastAsia="zh-CN"/>
        </w:rPr>
      </w:pPr>
      <w:r>
        <w:rPr>
          <w:rFonts w:hint="eastAsia"/>
          <w:b w:val="0"/>
          <w:bCs w:val="0"/>
          <w:lang w:val="en-US" w:eastAsia="zh-CN"/>
        </w:rPr>
        <w:t>Do not change.</w:t>
      </w:r>
    </w:p>
    <w:p w14:paraId="15B2B32D">
      <w:pPr>
        <w:rPr>
          <w:b/>
          <w:bCs/>
        </w:rPr>
      </w:pPr>
    </w:p>
    <w:p w14:paraId="599D3B22">
      <w:r>
        <w:t xml:space="preserve">Open the Inferior and Superior Planets applet.  We will start with the Inferior Planets model. </w:t>
      </w:r>
    </w:p>
    <w:p w14:paraId="5D03A421">
      <w:r>
        <w:t xml:space="preserve">Because Ptolemy’s models work equivalently at any size, it was up to him to choose an ordering. His basic premise was that planets with longer tropical periods should be further from the Earth.  However, this cannot apply to the Sun, Mercury and Venus as they all have tropical periods of 1 year. Thus, the choice between these is even more arbitrary.  </w:t>
      </w:r>
    </w:p>
    <w:p w14:paraId="29A20CC2">
      <w:r>
        <w:t xml:space="preserve">The purple circle represents the Moon’s orbit. The red circle represents the boundaries between the spherical shells that would hold Mercury and Venus.  Clicking the buttons labelled Mercury and Venus will adjust the parameters so that the planets will have the correct synodic periods, maximum elongations, and fit snugly together between the Moon and the Sun according to Ptolemy’s ordering. A faint light-blue circle is also shown.  </w:t>
      </w:r>
    </w:p>
    <w:p w14:paraId="4D0175BD">
      <w:pPr>
        <w:rPr>
          <w:b/>
          <w:bCs/>
        </w:rPr>
      </w:pPr>
      <w:r>
        <w:rPr>
          <w:b/>
          <w:bCs/>
        </w:rPr>
        <w:t>Q3. After clicking ‘Mercury’ the epicycle will intersect the Moon’s orbit (purple circle) and the red circle.  Adjust the Deferent Size slider until the epicycle intersects the Sun’s orbit and the light blue circle. What is the deferent size?</w:t>
      </w:r>
    </w:p>
    <w:p w14:paraId="0CAF8D9B">
      <w:pPr>
        <w:rPr>
          <w:rFonts w:hint="default" w:eastAsiaTheme="minorEastAsia"/>
          <w:b w:val="0"/>
          <w:bCs w:val="0"/>
          <w:lang w:val="en-US" w:eastAsia="zh-CN"/>
        </w:rPr>
      </w:pPr>
      <w:r>
        <w:rPr>
          <w:rFonts w:hint="eastAsia"/>
          <w:b w:val="0"/>
          <w:bCs w:val="0"/>
          <w:lang w:val="en-US" w:eastAsia="zh-CN"/>
        </w:rPr>
        <w:t>0.72 AU</w:t>
      </w:r>
    </w:p>
    <w:p w14:paraId="78DEA9CD">
      <w:pPr>
        <w:rPr>
          <w:b w:val="0"/>
          <w:bCs w:val="0"/>
        </w:rPr>
      </w:pPr>
    </w:p>
    <w:p w14:paraId="65E51DDD">
      <w:pPr>
        <w:rPr>
          <w:b/>
          <w:bCs/>
        </w:rPr>
      </w:pPr>
      <w:r>
        <w:rPr>
          <w:b/>
          <w:bCs/>
        </w:rPr>
        <w:t>Q4. After clicking ‘Venus’ the epicycle will intersect the red circle and the Sun’s orbit. adjust the Deferent Size slider until the epicycle intersects the Moon’s orbit (purple circle) and the light blue circle.   What is the deferent size?</w:t>
      </w:r>
    </w:p>
    <w:p w14:paraId="018A6A11">
      <w:pPr>
        <w:rPr>
          <w:rFonts w:hint="default" w:eastAsiaTheme="minorEastAsia"/>
          <w:b w:val="0"/>
          <w:bCs w:val="0"/>
          <w:lang w:val="en-US" w:eastAsia="zh-CN"/>
        </w:rPr>
      </w:pPr>
      <w:r>
        <w:rPr>
          <w:rFonts w:hint="eastAsia"/>
          <w:b w:val="0"/>
          <w:bCs w:val="0"/>
          <w:lang w:val="en-US" w:eastAsia="zh-CN"/>
        </w:rPr>
        <w:t>0.25 AU</w:t>
      </w:r>
    </w:p>
    <w:p w14:paraId="19C46493">
      <w:pPr>
        <w:rPr>
          <w:b/>
          <w:bCs/>
        </w:rPr>
      </w:pPr>
    </w:p>
    <w:p w14:paraId="540AD465">
      <w:pPr>
        <w:rPr>
          <w:b/>
          <w:bCs/>
        </w:rPr>
      </w:pPr>
      <w:r>
        <w:rPr>
          <w:b/>
          <w:bCs/>
        </w:rPr>
        <w:t xml:space="preserve">Q5. Are there any observational differences that Ptolemy could make to prefer the red circle as the boundary between Mercury and Venus over the light blue circle?  </w:t>
      </w:r>
    </w:p>
    <w:p w14:paraId="129CB694">
      <w:pPr>
        <w:rPr>
          <w:rFonts w:hint="default" w:eastAsiaTheme="minorEastAsia"/>
          <w:b w:val="0"/>
          <w:bCs w:val="0"/>
          <w:lang w:val="en-US" w:eastAsia="zh-CN"/>
        </w:rPr>
      </w:pPr>
      <w:r>
        <w:rPr>
          <w:rFonts w:hint="eastAsia"/>
          <w:b w:val="0"/>
          <w:bCs w:val="0"/>
          <w:lang w:val="en-US" w:eastAsia="zh-CN"/>
        </w:rPr>
        <w:t>No, the observational difference are the same when changing the deferent size.</w:t>
      </w:r>
    </w:p>
    <w:p w14:paraId="7360F3BE">
      <w:pPr>
        <w:rPr>
          <w:b/>
          <w:bCs/>
        </w:rPr>
      </w:pPr>
    </w:p>
    <w:p w14:paraId="3F8208D2">
      <w:r>
        <w:t xml:space="preserve">The superior planets model also shows how the three superior planets would fit together.  This gives an estimate for the size of the Celestial Sphere.  </w:t>
      </w:r>
    </w:p>
    <w:p w14:paraId="7C324387"/>
    <w:p w14:paraId="7EDB8398">
      <w:pPr>
        <w:pStyle w:val="2"/>
      </w:pPr>
      <w:r>
        <w:t>The Sun Leads the Dance</w:t>
      </w:r>
    </w:p>
    <w:p w14:paraId="498D8E53">
      <w:r>
        <w:t xml:space="preserve">In the Inferior Planets applet, the center of the deferent circle is driven by the line between the Earth and the Sun.  </w:t>
      </w:r>
    </w:p>
    <w:p w14:paraId="1373B4C8">
      <w:pPr>
        <w:rPr>
          <w:b/>
          <w:bCs/>
        </w:rPr>
      </w:pPr>
      <w:r>
        <w:rPr>
          <w:b/>
          <w:bCs/>
        </w:rPr>
        <w:t>Q6. What observations of inferior planets does this model feature incorporate?</w:t>
      </w:r>
    </w:p>
    <w:p w14:paraId="4F1A043C">
      <w:pPr>
        <w:rPr>
          <w:rFonts w:hint="default" w:eastAsiaTheme="minorEastAsia"/>
          <w:b w:val="0"/>
          <w:bCs w:val="0"/>
          <w:lang w:val="en-US" w:eastAsia="zh-CN"/>
        </w:rPr>
      </w:pPr>
      <w:r>
        <w:rPr>
          <w:rFonts w:hint="eastAsia"/>
          <w:b w:val="0"/>
          <w:bCs w:val="0"/>
          <w:lang w:val="en-US" w:eastAsia="zh-CN"/>
        </w:rPr>
        <w:t>The center of the epicycle, the earth, and the sun are always on a straight line.</w:t>
      </w:r>
    </w:p>
    <w:p w14:paraId="52E52250">
      <w:pPr>
        <w:rPr>
          <w:b w:val="0"/>
          <w:bCs w:val="0"/>
        </w:rPr>
      </w:pPr>
    </w:p>
    <w:p w14:paraId="7C2040BA">
      <w:r>
        <w:t xml:space="preserve">In the Superior Planets applet, adjusting the Sun Position slider, also adjusts the angle of the planet along the Epicycle. </w:t>
      </w:r>
    </w:p>
    <w:p w14:paraId="4AA9D4FF"/>
    <w:p w14:paraId="3CB3CBD5">
      <w:pPr>
        <w:rPr>
          <w:b/>
          <w:bCs/>
        </w:rPr>
      </w:pPr>
      <w:r>
        <w:rPr>
          <w:b/>
          <w:bCs/>
        </w:rPr>
        <w:t>Q7. What observations of superior planets does this model feature incorporate?</w:t>
      </w:r>
    </w:p>
    <w:p w14:paraId="7495E8EF">
      <w:pPr>
        <w:rPr>
          <w:rFonts w:hint="default" w:eastAsiaTheme="minorEastAsia"/>
          <w:b/>
          <w:bCs/>
          <w:lang w:val="en-US" w:eastAsia="zh-CN"/>
        </w:rPr>
      </w:pPr>
      <w:r>
        <w:rPr>
          <w:rFonts w:hint="eastAsia"/>
          <w:b w:val="0"/>
          <w:bCs w:val="0"/>
          <w:lang w:val="en-US" w:eastAsia="zh-CN"/>
        </w:rPr>
        <w:t>The line between the earth and the sun is always parallel to the line between the center of the epicycle and the planet.</w:t>
      </w:r>
    </w:p>
    <w:p w14:paraId="0DFB0DEA">
      <w:pPr>
        <w:rPr>
          <w:b/>
          <w:bCs/>
        </w:rPr>
      </w:pPr>
    </w:p>
    <w:p w14:paraId="668C73A1">
      <w:pPr>
        <w:rPr>
          <w:b/>
          <w:bCs/>
        </w:rPr>
      </w:pPr>
      <w:r>
        <w:rPr>
          <w:b/>
          <w:bCs/>
        </w:rPr>
        <w:t>Q8. In the Inferior Planets applet, does anything change if you set the Deferent Size = 1? Can you think of any observational difference that would suggest that this is a better choice?</w:t>
      </w:r>
    </w:p>
    <w:p w14:paraId="1B640BE6">
      <w:pPr>
        <w:rPr>
          <w:rFonts w:hint="eastAsia"/>
          <w:b w:val="0"/>
          <w:bCs w:val="0"/>
          <w:lang w:val="en-US" w:eastAsia="zh-CN"/>
        </w:rPr>
      </w:pPr>
      <w:r>
        <w:rPr>
          <w:rFonts w:hint="eastAsia"/>
          <w:b w:val="0"/>
          <w:bCs w:val="0"/>
          <w:lang w:val="en-US" w:eastAsia="zh-CN"/>
        </w:rPr>
        <w:t>No, they are the same.</w:t>
      </w:r>
    </w:p>
    <w:p w14:paraId="6079594E">
      <w:pPr>
        <w:rPr>
          <w:rFonts w:hint="eastAsia"/>
          <w:b w:val="0"/>
          <w:bCs w:val="0"/>
          <w:lang w:val="en-US" w:eastAsia="zh-CN"/>
        </w:rPr>
      </w:pPr>
      <w:r>
        <w:rPr>
          <w:rFonts w:hint="eastAsia"/>
          <w:b w:val="0"/>
          <w:bCs w:val="0"/>
          <w:lang w:val="en-US" w:eastAsia="zh-CN"/>
        </w:rPr>
        <w:t>For observational difference, their are little.</w:t>
      </w:r>
    </w:p>
    <w:p w14:paraId="2F625FD3">
      <w:pPr>
        <w:rPr>
          <w:rFonts w:hint="default"/>
          <w:b w:val="0"/>
          <w:bCs w:val="0"/>
          <w:color w:val="0000FF"/>
          <w:lang w:val="en-US" w:eastAsia="zh-CN"/>
        </w:rPr>
      </w:pPr>
      <w:r>
        <w:rPr>
          <w:rFonts w:hint="eastAsia"/>
          <w:b w:val="0"/>
          <w:bCs w:val="0"/>
          <w:color w:val="0000FF"/>
          <w:lang w:val="en-US" w:eastAsia="zh-CN"/>
        </w:rPr>
        <w:t>Maybe YES (because better tool)</w:t>
      </w:r>
    </w:p>
    <w:p w14:paraId="6AD9466C">
      <w:pPr>
        <w:rPr>
          <w:rFonts w:hint="default" w:eastAsiaTheme="minorEastAsia"/>
          <w:b/>
          <w:bCs/>
          <w:lang w:val="en-US" w:eastAsia="zh-CN"/>
        </w:rPr>
      </w:pPr>
      <w:r>
        <w:rPr>
          <w:rFonts w:hint="eastAsia"/>
          <w:b/>
          <w:bCs/>
          <w:lang w:val="en-US" w:eastAsia="zh-CN"/>
        </w:rPr>
        <w:t>The size of defferent will affect the phase of planet, just like the moon!!!</w:t>
      </w:r>
      <w:bookmarkStart w:id="0" w:name="_GoBack"/>
      <w:bookmarkEnd w:id="0"/>
    </w:p>
    <w:p w14:paraId="136D99C1">
      <w:pPr>
        <w:rPr>
          <w:b/>
          <w:bC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PMingLiU">
    <w:altName w:val="宋体"/>
    <w:panose1 w:val="00000000000000000000"/>
    <w:charset w:val="86"/>
    <w:family w:val="auto"/>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82B"/>
    <w:rsid w:val="00066B9B"/>
    <w:rsid w:val="0011294E"/>
    <w:rsid w:val="0013033E"/>
    <w:rsid w:val="002730AD"/>
    <w:rsid w:val="002A6F39"/>
    <w:rsid w:val="003468CC"/>
    <w:rsid w:val="003805C5"/>
    <w:rsid w:val="00471F3C"/>
    <w:rsid w:val="005D06FB"/>
    <w:rsid w:val="00613899"/>
    <w:rsid w:val="0061482B"/>
    <w:rsid w:val="006420E9"/>
    <w:rsid w:val="00653D9B"/>
    <w:rsid w:val="00880F3B"/>
    <w:rsid w:val="009514BE"/>
    <w:rsid w:val="00A21234"/>
    <w:rsid w:val="00B445DA"/>
    <w:rsid w:val="00BE69D6"/>
    <w:rsid w:val="00CF0863"/>
    <w:rsid w:val="00D003F5"/>
    <w:rsid w:val="00D169D8"/>
    <w:rsid w:val="00D43DE1"/>
    <w:rsid w:val="00ED54F4"/>
    <w:rsid w:val="00F246E6"/>
    <w:rsid w:val="0CD4486F"/>
    <w:rsid w:val="16283A6B"/>
    <w:rsid w:val="1AEE033B"/>
    <w:rsid w:val="2F6E3EF7"/>
    <w:rsid w:val="57DB7132"/>
    <w:rsid w:val="59923CB7"/>
    <w:rsid w:val="77D01422"/>
    <w:rsid w:val="7A476ED2"/>
  </w:rsids>
  <m:mathPr>
    <m:mathFont m:val="Cambria Math"/>
    <m:brkBin m:val="before"/>
    <m:brkBinSub m:val="--"/>
    <m:smallFrac m:val="0"/>
    <m:dispDef/>
    <m:lMargin m:val="0"/>
    <m:rMargin m:val="0"/>
    <m:defJc m:val="centerGroup"/>
    <m:wrapIndent m:val="1440"/>
    <m:intLim m:val="subSup"/>
    <m:naryLim m:val="undOvr"/>
  </m:mathPr>
  <w:themeFontLang w:val="zh-CN"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zh-CN" w:eastAsia="zh-TW" w:bidi="ar-SA"/>
    </w:rPr>
  </w:style>
  <w:style w:type="paragraph" w:styleId="2">
    <w:name w:val="heading 1"/>
    <w:basedOn w:val="1"/>
    <w:next w:val="1"/>
    <w:link w:val="18"/>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19"/>
    <w:semiHidden/>
    <w:unhideWhenUsed/>
    <w:qFormat/>
    <w:uiPriority w:val="9"/>
    <w:pPr>
      <w:keepNext/>
      <w:keepLines/>
      <w:numPr>
        <w:ilvl w:val="1"/>
        <w:numId w:val="1"/>
      </w:numPr>
      <w:spacing w:before="360" w:after="0"/>
      <w:outlineLvl w:val="1"/>
    </w:pPr>
    <w:rPr>
      <w:rFonts w:asciiTheme="majorHAnsi" w:hAnsiTheme="majorHAnsi" w:eastAsiaTheme="majorEastAsia" w:cstheme="majorBidi"/>
      <w:b/>
      <w:bCs/>
      <w:smallCaps/>
      <w:color w:val="000000" w:themeColor="text1"/>
      <w:sz w:val="28"/>
      <w:szCs w:val="28"/>
      <w14:textFill>
        <w14:solidFill>
          <w14:schemeClr w14:val="tx1"/>
        </w14:solidFill>
      </w14:textFill>
    </w:rPr>
  </w:style>
  <w:style w:type="paragraph" w:styleId="4">
    <w:name w:val="heading 3"/>
    <w:basedOn w:val="1"/>
    <w:next w:val="1"/>
    <w:link w:val="20"/>
    <w:semiHidden/>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5">
    <w:name w:val="heading 4"/>
    <w:basedOn w:val="1"/>
    <w:next w:val="1"/>
    <w:link w:val="21"/>
    <w:semiHidden/>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000000" w:themeColor="text1"/>
      <w14:textFill>
        <w14:solidFill>
          <w14:schemeClr w14:val="tx1"/>
        </w14:solidFill>
      </w14:textFill>
    </w:rPr>
  </w:style>
  <w:style w:type="paragraph" w:styleId="6">
    <w:name w:val="heading 5"/>
    <w:basedOn w:val="1"/>
    <w:next w:val="1"/>
    <w:link w:val="22"/>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0B1E31" w:themeColor="text2" w:themeShade="BF"/>
    </w:rPr>
  </w:style>
  <w:style w:type="paragraph" w:styleId="7">
    <w:name w:val="heading 6"/>
    <w:basedOn w:val="1"/>
    <w:next w:val="1"/>
    <w:link w:val="23"/>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0B1E31" w:themeColor="text2" w:themeShade="BF"/>
    </w:rPr>
  </w:style>
  <w:style w:type="paragraph" w:styleId="8">
    <w:name w:val="heading 7"/>
    <w:basedOn w:val="1"/>
    <w:next w:val="1"/>
    <w:link w:val="24"/>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25"/>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26"/>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5">
    <w:name w:val="Default Paragraph Font"/>
    <w:semiHidden/>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pPr>
      <w:spacing w:after="200" w:line="240" w:lineRule="auto"/>
    </w:pPr>
    <w:rPr>
      <w:i/>
      <w:iCs/>
      <w:color w:val="0E2841" w:themeColor="text2"/>
      <w:sz w:val="18"/>
      <w:szCs w:val="18"/>
      <w14:textFill>
        <w14:solidFill>
          <w14:schemeClr w14:val="tx2"/>
        </w14:solidFill>
      </w14:textFill>
    </w:rPr>
  </w:style>
  <w:style w:type="paragraph" w:styleId="12">
    <w:name w:val="Subtitle"/>
    <w:basedOn w:val="1"/>
    <w:next w:val="1"/>
    <w:link w:val="28"/>
    <w:qFormat/>
    <w:uiPriority w:val="11"/>
    <w:rPr>
      <w:color w:val="595959" w:themeColor="text1" w:themeTint="A6"/>
      <w:spacing w:val="10"/>
      <w14:textFill>
        <w14:solidFill>
          <w14:schemeClr w14:val="tx1">
            <w14:lumMod w14:val="65000"/>
            <w14:lumOff w14:val="35000"/>
          </w14:schemeClr>
        </w14:solidFill>
      </w14:textFill>
    </w:rPr>
  </w:style>
  <w:style w:type="paragraph" w:styleId="13">
    <w:name w:val="Title"/>
    <w:basedOn w:val="1"/>
    <w:next w:val="1"/>
    <w:link w:val="27"/>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character" w:styleId="16">
    <w:name w:val="Strong"/>
    <w:basedOn w:val="15"/>
    <w:qFormat/>
    <w:uiPriority w:val="22"/>
    <w:rPr>
      <w:b/>
      <w:bCs/>
      <w:color w:val="000000" w:themeColor="text1"/>
      <w14:textFill>
        <w14:solidFill>
          <w14:schemeClr w14:val="tx1"/>
        </w14:solidFill>
      </w14:textFill>
    </w:rPr>
  </w:style>
  <w:style w:type="character" w:styleId="17">
    <w:name w:val="Emphasis"/>
    <w:basedOn w:val="15"/>
    <w:qFormat/>
    <w:uiPriority w:val="20"/>
    <w:rPr>
      <w:i/>
      <w:iCs/>
      <w:color w:val="auto"/>
    </w:rPr>
  </w:style>
  <w:style w:type="character" w:customStyle="1" w:styleId="18">
    <w:name w:val="Heading 1 Char"/>
    <w:basedOn w:val="15"/>
    <w:link w:val="2"/>
    <w:qFormat/>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19">
    <w:name w:val="Heading 2 Char"/>
    <w:basedOn w:val="15"/>
    <w:link w:val="3"/>
    <w:semiHidden/>
    <w:uiPriority w:val="9"/>
    <w:rPr>
      <w:rFonts w:asciiTheme="majorHAnsi" w:hAnsiTheme="majorHAnsi" w:eastAsiaTheme="majorEastAsia" w:cstheme="majorBidi"/>
      <w:b/>
      <w:bCs/>
      <w:smallCaps/>
      <w:color w:val="000000" w:themeColor="text1"/>
      <w:sz w:val="28"/>
      <w:szCs w:val="28"/>
      <w14:textFill>
        <w14:solidFill>
          <w14:schemeClr w14:val="tx1"/>
        </w14:solidFill>
      </w14:textFill>
    </w:rPr>
  </w:style>
  <w:style w:type="character" w:customStyle="1" w:styleId="20">
    <w:name w:val="Heading 3 Char"/>
    <w:basedOn w:val="15"/>
    <w:link w:val="4"/>
    <w:semiHidden/>
    <w:qFormat/>
    <w:uiPriority w:val="9"/>
    <w:rPr>
      <w:rFonts w:asciiTheme="majorHAnsi" w:hAnsiTheme="majorHAnsi" w:eastAsiaTheme="majorEastAsia" w:cstheme="majorBidi"/>
      <w:b/>
      <w:bCs/>
      <w:color w:val="000000" w:themeColor="text1"/>
      <w14:textFill>
        <w14:solidFill>
          <w14:schemeClr w14:val="tx1"/>
        </w14:solidFill>
      </w14:textFill>
    </w:rPr>
  </w:style>
  <w:style w:type="character" w:customStyle="1" w:styleId="21">
    <w:name w:val="Heading 4 Char"/>
    <w:basedOn w:val="15"/>
    <w:link w:val="5"/>
    <w:semiHidden/>
    <w:qFormat/>
    <w:uiPriority w:val="9"/>
    <w:rPr>
      <w:rFonts w:asciiTheme="majorHAnsi" w:hAnsiTheme="majorHAnsi" w:eastAsiaTheme="majorEastAsia" w:cstheme="majorBidi"/>
      <w:b/>
      <w:bCs/>
      <w:i/>
      <w:iCs/>
      <w:color w:val="000000" w:themeColor="text1"/>
      <w14:textFill>
        <w14:solidFill>
          <w14:schemeClr w14:val="tx1"/>
        </w14:solidFill>
      </w14:textFill>
    </w:rPr>
  </w:style>
  <w:style w:type="character" w:customStyle="1" w:styleId="22">
    <w:name w:val="Heading 5 Char"/>
    <w:basedOn w:val="15"/>
    <w:link w:val="6"/>
    <w:semiHidden/>
    <w:qFormat/>
    <w:uiPriority w:val="9"/>
    <w:rPr>
      <w:rFonts w:asciiTheme="majorHAnsi" w:hAnsiTheme="majorHAnsi" w:eastAsiaTheme="majorEastAsia" w:cstheme="majorBidi"/>
      <w:color w:val="0B1E31" w:themeColor="text2" w:themeShade="BF"/>
    </w:rPr>
  </w:style>
  <w:style w:type="character" w:customStyle="1" w:styleId="23">
    <w:name w:val="Heading 6 Char"/>
    <w:basedOn w:val="15"/>
    <w:link w:val="7"/>
    <w:semiHidden/>
    <w:qFormat/>
    <w:uiPriority w:val="9"/>
    <w:rPr>
      <w:rFonts w:asciiTheme="majorHAnsi" w:hAnsiTheme="majorHAnsi" w:eastAsiaTheme="majorEastAsia" w:cstheme="majorBidi"/>
      <w:i/>
      <w:iCs/>
      <w:color w:val="0B1E31" w:themeColor="text2" w:themeShade="BF"/>
    </w:rPr>
  </w:style>
  <w:style w:type="character" w:customStyle="1" w:styleId="24">
    <w:name w:val="Heading 7 Char"/>
    <w:basedOn w:val="15"/>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25">
    <w:name w:val="Heading 8 Char"/>
    <w:basedOn w:val="15"/>
    <w:link w:val="9"/>
    <w:semiHidden/>
    <w:qFormat/>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26">
    <w:name w:val="Heading 9 Char"/>
    <w:basedOn w:val="15"/>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27">
    <w:name w:val="Title Char"/>
    <w:basedOn w:val="15"/>
    <w:link w:val="13"/>
    <w:qFormat/>
    <w:uiPriority w:val="10"/>
    <w:rPr>
      <w:rFonts w:asciiTheme="majorHAnsi" w:hAnsiTheme="majorHAnsi" w:eastAsiaTheme="majorEastAsia" w:cstheme="majorBidi"/>
      <w:color w:val="000000" w:themeColor="text1"/>
      <w:sz w:val="56"/>
      <w:szCs w:val="56"/>
      <w14:textFill>
        <w14:solidFill>
          <w14:schemeClr w14:val="tx1"/>
        </w14:solidFill>
      </w14:textFill>
    </w:rPr>
  </w:style>
  <w:style w:type="character" w:customStyle="1" w:styleId="28">
    <w:name w:val="Subtitle Char"/>
    <w:basedOn w:val="15"/>
    <w:link w:val="12"/>
    <w:qFormat/>
    <w:uiPriority w:val="11"/>
    <w:rPr>
      <w:color w:val="595959" w:themeColor="text1" w:themeTint="A6"/>
      <w:spacing w:val="10"/>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ind w:left="720" w:right="720"/>
    </w:pPr>
    <w:rPr>
      <w:i/>
      <w:iCs/>
      <w:color w:val="000000" w:themeColor="text1"/>
      <w14:textFill>
        <w14:solidFill>
          <w14:schemeClr w14:val="tx1"/>
        </w14:solidFill>
      </w14:textFill>
    </w:rPr>
  </w:style>
  <w:style w:type="character" w:customStyle="1" w:styleId="30">
    <w:name w:val="Quote Char"/>
    <w:basedOn w:val="15"/>
    <w:link w:val="29"/>
    <w:qFormat/>
    <w:uiPriority w:val="29"/>
    <w:rPr>
      <w:i/>
      <w:iCs/>
      <w:color w:val="000000" w:themeColor="text1"/>
      <w14:textFill>
        <w14:solidFill>
          <w14:schemeClr w14:val="tx1"/>
        </w14:solidFill>
      </w14:textFill>
    </w:rPr>
  </w:style>
  <w:style w:type="paragraph" w:styleId="31">
    <w:name w:val="List Paragraph"/>
    <w:basedOn w:val="1"/>
    <w:qFormat/>
    <w:uiPriority w:val="34"/>
    <w:pPr>
      <w:ind w:left="720"/>
      <w:contextualSpacing/>
    </w:pPr>
  </w:style>
  <w:style w:type="character" w:customStyle="1" w:styleId="32">
    <w:name w:val="Intense Emphasis"/>
    <w:basedOn w:val="15"/>
    <w:qFormat/>
    <w:uiPriority w:val="21"/>
    <w:rPr>
      <w:b/>
      <w:bCs/>
      <w:i/>
      <w:iCs/>
      <w:caps/>
    </w:rPr>
  </w:style>
  <w:style w:type="paragraph" w:styleId="33">
    <w:name w:val="Intense Quote"/>
    <w:basedOn w:val="1"/>
    <w:next w:val="1"/>
    <w:link w:val="34"/>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34">
    <w:name w:val="Intense Quote Char"/>
    <w:basedOn w:val="15"/>
    <w:link w:val="33"/>
    <w:qFormat/>
    <w:uiPriority w:val="30"/>
    <w:rPr>
      <w:color w:val="000000" w:themeColor="text1"/>
      <w:shd w:val="clear" w:color="auto" w:fill="F1F1F1" w:themeFill="background1" w:themeFillShade="F2"/>
      <w14:textFill>
        <w14:solidFill>
          <w14:schemeClr w14:val="tx1"/>
        </w14:solidFill>
      </w14:textFill>
    </w:rPr>
  </w:style>
  <w:style w:type="character" w:customStyle="1" w:styleId="35">
    <w:name w:val="Intense Reference"/>
    <w:basedOn w:val="15"/>
    <w:qFormat/>
    <w:uiPriority w:val="32"/>
    <w:rPr>
      <w:b/>
      <w:bCs/>
      <w:smallCaps/>
      <w:u w:val="single"/>
    </w:rPr>
  </w:style>
  <w:style w:type="paragraph" w:styleId="36">
    <w:name w:val="No Spacing"/>
    <w:qFormat/>
    <w:uiPriority w:val="1"/>
    <w:pPr>
      <w:spacing w:after="0" w:line="240" w:lineRule="auto"/>
    </w:pPr>
    <w:rPr>
      <w:rFonts w:asciiTheme="minorHAnsi" w:hAnsiTheme="minorHAnsi" w:eastAsiaTheme="minorEastAsia" w:cstheme="minorBidi"/>
      <w:sz w:val="22"/>
      <w:szCs w:val="22"/>
      <w:lang w:val="zh-CN" w:eastAsia="zh-TW" w:bidi="ar-SA"/>
    </w:rPr>
  </w:style>
  <w:style w:type="character" w:customStyle="1" w:styleId="37">
    <w:name w:val="Subtle Emphasis"/>
    <w:basedOn w:val="15"/>
    <w:qFormat/>
    <w:uiPriority w:val="19"/>
    <w:rPr>
      <w:i/>
      <w:iCs/>
      <w:color w:val="404040" w:themeColor="text1" w:themeTint="BF"/>
      <w14:textFill>
        <w14:solidFill>
          <w14:schemeClr w14:val="tx1">
            <w14:lumMod w14:val="75000"/>
            <w14:lumOff w14:val="25000"/>
          </w14:schemeClr>
        </w14:solidFill>
      </w14:textFill>
    </w:rPr>
  </w:style>
  <w:style w:type="character" w:customStyle="1" w:styleId="38">
    <w:name w:val="Subtle Reference"/>
    <w:basedOn w:val="15"/>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39">
    <w:name w:val="Book Title"/>
    <w:basedOn w:val="15"/>
    <w:qFormat/>
    <w:uiPriority w:val="33"/>
    <w:rPr>
      <w:smallCaps/>
      <w:spacing w:val="5"/>
    </w:rPr>
  </w:style>
  <w:style w:type="paragraph" w:customStyle="1" w:styleId="40">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603</Words>
  <Characters>2883</Characters>
  <Lines>24</Lines>
  <Paragraphs>6</Paragraphs>
  <TotalTime>2007</TotalTime>
  <ScaleCrop>false</ScaleCrop>
  <LinksUpToDate>false</LinksUpToDate>
  <CharactersWithSpaces>3466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2024-03-24T12:41:00Z</dcterms:created>
  <dc:creator>Tim Wotherspoon</dc:creator>
  <cp:lastModifiedBy>Happy</cp:lastModifiedBy>
  <dcterms:modified xsi:type="dcterms:W3CDTF">2026-04-10T13:36:34Z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eyJoZGlkIjoiYTc0ZTg4OTQ2MWYyYTM5NWE1NjRmODRjZTEzMWViZmIiLCJ1c2VySWQiOiI5NTk4OTYzNTUifQ==</vt:lpwstr>
  </property>
  <property fmtid="{D5CDD505-2E9C-101B-9397-08002B2CF9AE}" pid="3" name="KSOProductBuildVer">
    <vt:lpwstr>2052-12.1.0.24657</vt:lpwstr>
  </property>
  <property fmtid="{D5CDD505-2E9C-101B-9397-08002B2CF9AE}" pid="4" name="ICV">
    <vt:lpwstr>D127B613D7FC478B849B5CFC1D2D1A7E_13</vt:lpwstr>
  </property>
</Properties>
</file>