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95AFF">
      <w:pPr>
        <w:pStyle w:val="13"/>
      </w:pPr>
      <w:r>
        <w:t>CCST9012 Tutorial Week 7</w:t>
      </w:r>
    </w:p>
    <w:p w14:paraId="255278E3">
      <w:pPr>
        <w:pStyle w:val="12"/>
      </w:pPr>
      <w:r>
        <w:t>Copernican Astronomy</w:t>
      </w:r>
    </w:p>
    <w:p w14:paraId="307CF6A4">
      <w:r>
        <w:t xml:space="preserve"> In this tutorial we will try to demonstrate the 3 advantages of Copernicus’ system. </w:t>
      </w:r>
    </w:p>
    <w:p w14:paraId="713025F3">
      <w:pPr>
        <w:pStyle w:val="31"/>
        <w:numPr>
          <w:ilvl w:val="0"/>
          <w:numId w:val="2"/>
        </w:numPr>
      </w:pPr>
      <w:r>
        <w:t xml:space="preserve">Planets only move in one direction. Retrograde motion is only an apparent effect caused by the Earth’s motion. </w:t>
      </w:r>
    </w:p>
    <w:p w14:paraId="073FC837">
      <w:pPr>
        <w:pStyle w:val="31"/>
        <w:numPr>
          <w:ilvl w:val="0"/>
          <w:numId w:val="2"/>
        </w:numPr>
      </w:pPr>
      <w:r>
        <w:t>The relationship that each planet has with the sun has a natural explanation.</w:t>
      </w:r>
    </w:p>
    <w:p w14:paraId="28A351CB">
      <w:pPr>
        <w:pStyle w:val="31"/>
        <w:numPr>
          <w:ilvl w:val="0"/>
          <w:numId w:val="2"/>
        </w:numPr>
      </w:pPr>
      <w:r>
        <w:t xml:space="preserve">The ordering of the planets can be determined by observations. </w:t>
      </w:r>
    </w:p>
    <w:p w14:paraId="2346923F">
      <w:pPr>
        <w:pStyle w:val="2"/>
      </w:pPr>
      <w:r>
        <w:t>Inferior Planets</w:t>
      </w:r>
    </w:p>
    <w:p w14:paraId="4CF56573">
      <w:r>
        <w:t xml:space="preserve">Suppose Copernicus had observed a planet with a maximum elongation of </w:t>
      </w:r>
      <m:oMath>
        <m:r>
          <m:rPr/>
          <w:rPr>
            <w:rFonts w:ascii="Cambria Math" w:hAnsi="Cambria Math"/>
          </w:rPr>
          <m:t>30°</m:t>
        </m:r>
      </m:oMath>
      <w:r>
        <w:t xml:space="preserve">, a tropical period of 1 year and a synodic period of 1/3 of a year.  </w:t>
      </w:r>
    </w:p>
    <w:p w14:paraId="20187E5A">
      <w:pPr>
        <w:rPr>
          <w:b/>
          <w:bCs/>
        </w:rPr>
      </w:pPr>
      <w:r>
        <w:rPr>
          <w:b/>
          <w:bCs/>
        </w:rPr>
        <w:t xml:space="preserve">Determine the size of this Planet’s orbit and its sidereal period. </w:t>
      </w:r>
    </w:p>
    <w:p w14:paraId="73E8E098">
      <w:r>
        <w:t xml:space="preserve">You will need the following two formulas:  </w:t>
      </w:r>
    </w:p>
    <w:p w14:paraId="21C78110">
      <m:oMathPara>
        <m:oMath>
          <m:func>
            <m:funcPr>
              <m:ctrlPr>
                <w:rPr>
                  <w:rFonts w:ascii="Cambria Math" w:hAnsi="Cambria Math"/>
                  <w:i/>
                  <w:kern w:val="2"/>
                  <w:sz w:val="24"/>
                  <w:szCs w:val="24"/>
                  <w14:ligatures w14:val="standardContextual"/>
                </w:rPr>
              </m:ctrlPr>
            </m:funcPr>
            <m:fName>
              <m:r>
                <m:rPr>
                  <m:sty m:val="p"/>
                </m:rPr>
                <w:rPr>
                  <w:rFonts w:ascii="Cambria Math" w:hAnsi="Cambria Math"/>
                </w:rPr>
                <m:t>sin</m:t>
              </m:r>
              <m:ctrlPr>
                <w:rPr>
                  <w:rFonts w:ascii="Cambria Math" w:hAnsi="Cambria Math"/>
                  <w:i/>
                  <w:kern w:val="2"/>
                  <w:sz w:val="24"/>
                  <w:szCs w:val="24"/>
                  <w14:ligatures w14:val="standardContextual"/>
                </w:rPr>
              </m:ctrlPr>
            </m:fName>
            <m:e>
              <m:r>
                <m:rPr/>
                <w:rPr>
                  <w:rFonts w:ascii="Cambria Math" w:hAnsi="Cambria Math"/>
                </w:rPr>
                <m:t>α=</m:t>
              </m:r>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E</m:t>
                      </m:r>
                      <m:ctrlPr>
                        <w:rPr>
                          <w:rFonts w:ascii="Cambria Math" w:hAnsi="Cambria Math"/>
                          <w:i/>
                        </w:rPr>
                      </m:ctrlPr>
                    </m:sub>
                  </m:sSub>
                  <m:ctrlPr>
                    <w:rPr>
                      <w:rFonts w:ascii="Cambria Math" w:hAnsi="Cambria Math"/>
                      <w:i/>
                    </w:rPr>
                  </m:ctrlPr>
                </m:den>
              </m:f>
              <m:ctrlPr>
                <w:rPr>
                  <w:rFonts w:ascii="Cambria Math" w:hAnsi="Cambria Math"/>
                  <w:i/>
                  <w:kern w:val="2"/>
                  <w:sz w:val="24"/>
                  <w:szCs w:val="24"/>
                  <w14:ligatures w14:val="standardContextual"/>
                </w:rPr>
              </m:ctrlPr>
            </m:e>
          </m:func>
          <m:r>
            <m:rPr/>
            <w:rPr>
              <w:rFonts w:ascii="Cambria Math" w:hAnsi="Cambria Math"/>
              <w:kern w:val="2"/>
              <w:sz w:val="24"/>
              <w:szCs w:val="24"/>
              <w14:ligatures w14:val="standardContextual"/>
            </w:rPr>
            <m:t>,</m:t>
          </m:r>
        </m:oMath>
      </m:oMathPara>
    </w:p>
    <w:p w14:paraId="2053A01F">
      <m:oMathPara>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S</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P</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E</m:t>
              </m:r>
              <m:ctrlPr>
                <w:rPr>
                  <w:rFonts w:ascii="Cambria Math" w:hAnsi="Cambria Math"/>
                  <w:i/>
                </w:rPr>
              </m:ctrlPr>
            </m:den>
          </m:f>
          <m:r>
            <m:rPr/>
            <w:rPr>
              <w:rFonts w:ascii="Cambria Math" w:hAnsi="Cambria Math"/>
            </w:rPr>
            <m:t>.</m:t>
          </m:r>
        </m:oMath>
      </m:oMathPara>
    </w:p>
    <w:p w14:paraId="223BFE6E">
      <w:pPr>
        <w:rPr>
          <w:b/>
          <w:bCs/>
        </w:rPr>
      </w:pPr>
      <w:r>
        <w:rPr>
          <w:b/>
          <w:bCs/>
        </w:rPr>
        <w:t xml:space="preserve">Use the Heliocentric Inferior Planets applet to model this planet such that the centers of its retrograde motion are always Pisces, Cancer and Scorpius.  </w:t>
      </w:r>
    </w:p>
    <w:p w14:paraId="5670B26C"/>
    <w:p w14:paraId="2B52E219">
      <w:pPr>
        <w:pStyle w:val="2"/>
      </w:pPr>
      <w:r>
        <w:t>Superior Planets</w:t>
      </w:r>
    </w:p>
    <w:p w14:paraId="07AA288A">
      <w:r>
        <w:t xml:space="preserve">Suppose Copernicus had observed a planet that went into retrograde motion whenever it was in opposition to the sun.  He found that this occurred every 1.5 years. </w:t>
      </w:r>
    </w:p>
    <w:p w14:paraId="036BDDEF">
      <w:pPr>
        <w:rPr>
          <w:b/>
          <w:bCs/>
        </w:rPr>
      </w:pPr>
      <w:r>
        <w:rPr>
          <w:b/>
          <w:bCs/>
        </w:rPr>
        <w:t xml:space="preserve">Determine the sidereal period for this planet. </w:t>
      </w:r>
    </w:p>
    <w:p w14:paraId="4144519B">
      <w:pPr>
        <w:rPr>
          <w:rFonts w:hint="default"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3 years.</w:t>
      </w:r>
    </w:p>
    <w:p w14:paraId="628119F3">
      <w:r>
        <w:t>You will need the following formula:</w:t>
      </w:r>
    </w:p>
    <w:p w14:paraId="5813B154">
      <m:oMathPara>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S</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E</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P</m:t>
              </m:r>
              <m:ctrlPr>
                <w:rPr>
                  <w:rFonts w:ascii="Cambria Math" w:hAnsi="Cambria Math"/>
                  <w:i/>
                </w:rPr>
              </m:ctrlPr>
            </m:den>
          </m:f>
          <m:r>
            <m:rPr/>
            <w:rPr>
              <w:rFonts w:ascii="Cambria Math" w:hAnsi="Cambria Math"/>
            </w:rPr>
            <m:t>.</m:t>
          </m:r>
        </m:oMath>
      </m:oMathPara>
    </w:p>
    <w:p w14:paraId="429B8563"/>
    <w:p w14:paraId="671C408B">
      <w:r>
        <w:t xml:space="preserve">Further, he observes that it takes 0.25 years from the time that this planet is at opposition until its elongation is </w:t>
      </w:r>
      <m:oMath>
        <m:r>
          <m:rPr/>
          <w:rPr>
            <w:rFonts w:ascii="Cambria Math" w:hAnsi="Cambria Math"/>
          </w:rPr>
          <m:t>90°.</m:t>
        </m:r>
      </m:oMath>
    </w:p>
    <w:p w14:paraId="42DD16D4">
      <w:pPr>
        <w:rPr>
          <w:b/>
          <w:bCs/>
        </w:rPr>
      </w:pPr>
      <w:r>
        <w:rPr>
          <w:b/>
          <w:bCs/>
        </w:rPr>
        <w:t>In ¼ of a year, how many degrees does this planet move in its circle around the Sun?</w:t>
      </w:r>
    </w:p>
    <w:p w14:paraId="6BB99A90">
      <w:pPr>
        <w:rPr>
          <w:rFonts w:hAnsi="Cambria Math"/>
          <w:i w:val="0"/>
        </w:rPr>
      </w:pPr>
      <m:oMathPara>
        <m:oMath>
          <m:f>
            <m:fPr>
              <m:ctrlPr>
                <w:rPr>
                  <w:rFonts w:ascii="Cambria Math" w:hAnsi="Cambria Math"/>
                  <w:i/>
                </w:rPr>
              </m:ctrlPr>
            </m:fPr>
            <m:num>
              <m:r>
                <m:rPr/>
                <w:rPr>
                  <w:rFonts w:ascii="Cambria Math" w:hAnsi="Cambria Math"/>
                </w:rPr>
                <m:t xml:space="preserve">0.25 </m:t>
              </m:r>
              <m:r>
                <m:rPr>
                  <m:nor/>
                  <m:sty m:val="p"/>
                </m:rPr>
                <w:rPr>
                  <w:rFonts w:ascii="Cambria Math" w:hAnsi="Cambria Math"/>
                </w:rPr>
                <m:t>yr</m:t>
              </m:r>
              <m:ctrlPr>
                <w:rPr>
                  <w:rFonts w:ascii="Cambria Math" w:hAnsi="Cambria Math"/>
                  <w:i/>
                </w:rPr>
              </m:ctrlPr>
            </m:num>
            <m:den>
              <m:r>
                <m:rPr/>
                <w:rPr>
                  <w:rFonts w:ascii="Cambria Math" w:hAnsi="Cambria Math"/>
                </w:rPr>
                <m:t>P</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θ</m:t>
              </m:r>
              <m:ctrlPr>
                <w:rPr>
                  <w:rFonts w:ascii="Cambria Math" w:hAnsi="Cambria Math"/>
                  <w:i/>
                </w:rPr>
              </m:ctrlPr>
            </m:num>
            <m:den>
              <m:r>
                <m:rPr/>
                <w:rPr>
                  <w:rFonts w:ascii="Cambria Math" w:hAnsi="Cambria Math"/>
                </w:rPr>
                <m:t>360°</m:t>
              </m:r>
              <m:ctrlPr>
                <w:rPr>
                  <w:rFonts w:ascii="Cambria Math" w:hAnsi="Cambria Math"/>
                  <w:i/>
                </w:rPr>
              </m:ctrlPr>
            </m:den>
          </m:f>
        </m:oMath>
      </m:oMathPara>
    </w:p>
    <w:p w14:paraId="3B52B9E7">
      <w:pPr>
        <w:rPr>
          <w:rFonts w:hint="default" w:ascii="Times New Roman" w:hAnsi="Times New Roman" w:cs="Times New Roman" w:eastAsiaTheme="minorEastAsia"/>
          <w:i w:val="0"/>
          <w:lang w:val="en-US" w:eastAsia="zh-CN"/>
        </w:rPr>
      </w:pPr>
      <w:r>
        <w:rPr>
          <w:rFonts w:hint="eastAsia" w:ascii="Times New Roman" w:hAnsi="Times New Roman" w:cs="Times New Roman"/>
          <w:i w:val="0"/>
          <w:lang w:val="en-US" w:eastAsia="zh-CN"/>
        </w:rPr>
        <w:t>30 degrees.</w:t>
      </w:r>
    </w:p>
    <w:p w14:paraId="048EBCC2">
      <w:pPr>
        <w:rPr>
          <w:b/>
          <w:bCs/>
        </w:rPr>
      </w:pPr>
      <w:r>
        <w:rPr>
          <w:b/>
          <w:bCs/>
        </w:rPr>
        <w:t xml:space="preserve">Determine the size of this planet’s orbit. </w:t>
      </w:r>
    </w:p>
    <w:p w14:paraId="3CC855D7">
      <w:pPr>
        <w:rPr>
          <w:rFonts w:hint="default"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2AU.</w:t>
      </w:r>
    </w:p>
    <w:p w14:paraId="47CCBD55">
      <w:pPr>
        <w:rPr>
          <w:b/>
          <w:bCs/>
        </w:rPr>
      </w:pPr>
      <w:r>
        <w:rPr>
          <w:b/>
          <w:bCs/>
        </w:rPr>
        <w:t xml:space="preserve">Use the Heliocentric Superior Planets applet to model this planet such that the centers of its retrograde motion are Pisces and Virgo. </w:t>
      </w:r>
    </w:p>
    <w:p w14:paraId="4ADFA20D">
      <w:pPr>
        <w:rPr>
          <w:b w:val="0"/>
          <w:bCs w:val="0"/>
        </w:rPr>
      </w:pPr>
    </w:p>
    <w:p w14:paraId="74A9D703">
      <w:pPr>
        <w:rPr>
          <w:b w:val="0"/>
          <w:bCs w:val="0"/>
        </w:rPr>
      </w:pPr>
    </w:p>
    <w:p w14:paraId="70F006D1">
      <w:pPr>
        <w:pStyle w:val="2"/>
      </w:pPr>
      <w:r>
        <w:t>equivalency of models</w:t>
      </w:r>
    </w:p>
    <w:p w14:paraId="657F69FA">
      <w:r>
        <w:rPr>
          <w:b/>
          <w:bCs/>
        </w:rPr>
        <w:t>Model these two planets using the geocentric applet from last week.</w:t>
      </w:r>
      <w:r>
        <w:t xml:space="preserve"> </w:t>
      </w:r>
    </w:p>
    <w:p w14:paraId="4E64503E">
      <w:r>
        <w:t xml:space="preserve">For inferior planets, </w:t>
      </w:r>
    </w:p>
    <w:p w14:paraId="56AEF5BC">
      <m:oMathPara>
        <m:oMath>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ep</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def</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E</m:t>
                  </m:r>
                  <m:ctrlPr>
                    <w:rPr>
                      <w:rFonts w:ascii="Cambria Math" w:hAnsi="Cambria Math"/>
                      <w:i/>
                    </w:rPr>
                  </m:ctrlPr>
                </m:sub>
              </m:sSub>
              <m:ctrlPr>
                <w:rPr>
                  <w:rFonts w:ascii="Cambria Math" w:hAnsi="Cambria Math"/>
                  <w:i/>
                </w:rPr>
              </m:ctrlPr>
            </m:den>
          </m:f>
          <m:r>
            <m:rPr/>
            <w:rPr>
              <w:rFonts w:ascii="Cambria Math" w:hAnsi="Cambria Math"/>
            </w:rPr>
            <m:t>,</m:t>
          </m:r>
        </m:oMath>
      </m:oMathPara>
    </w:p>
    <w:p w14:paraId="78BA2F05">
      <m:oMathPara>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ep</m:t>
              </m:r>
              <m:ctrlPr>
                <w:rPr>
                  <w:rFonts w:ascii="Cambria Math" w:hAnsi="Cambria Math"/>
                  <w:i/>
                </w:rPr>
              </m:ctrlPr>
            </m:sub>
          </m:sSub>
          <m:r>
            <m:rPr/>
            <w:rPr>
              <w:rFonts w:ascii="Cambria Math" w:hAnsi="Cambria Math"/>
            </w:rPr>
            <m:t>=P.</m:t>
          </m:r>
        </m:oMath>
      </m:oMathPara>
    </w:p>
    <w:p w14:paraId="528B5C88">
      <w:r>
        <w:t xml:space="preserve">For superior planets, </w:t>
      </w:r>
    </w:p>
    <w:p w14:paraId="2D084C0B">
      <m:oMathPara>
        <m:oMath>
          <m:f>
            <m:fPr>
              <m:ctrlPr>
                <w:rPr>
                  <w:rFonts w:ascii="Cambria Math" w:hAnsi="Cambria Math"/>
                  <w:i/>
                </w:rPr>
              </m:ctrlPr>
            </m:fPr>
            <m:num>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ep</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def</m:t>
                  </m:r>
                  <m:ctrlPr>
                    <w:rPr>
                      <w:rFonts w:ascii="Cambria Math" w:hAnsi="Cambria Math"/>
                      <w:i/>
                    </w:rPr>
                  </m:ctrlPr>
                </m:sub>
              </m:sSub>
              <m:ctrlPr>
                <w:rPr>
                  <w:rFonts w:ascii="Cambria Math" w:hAnsi="Cambria Math"/>
                  <w:i/>
                </w:rPr>
              </m:ctrlPr>
            </m:den>
          </m:f>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E</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ctrlPr>
                <w:rPr>
                  <w:rFonts w:ascii="Cambria Math" w:hAnsi="Cambria Math"/>
                  <w:i/>
                </w:rPr>
              </m:ctrlPr>
            </m:den>
          </m:f>
          <m:r>
            <m:rPr/>
            <w:rPr>
              <w:rFonts w:ascii="Cambria Math" w:hAnsi="Cambria Math"/>
            </w:rPr>
            <m:t>,</m:t>
          </m:r>
        </m:oMath>
      </m:oMathPara>
    </w:p>
    <w:p w14:paraId="370702EA">
      <m:oMathPara>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def</m:t>
              </m:r>
              <m:ctrlPr>
                <w:rPr>
                  <w:rFonts w:ascii="Cambria Math" w:hAnsi="Cambria Math"/>
                  <w:i/>
                </w:rPr>
              </m:ctrlPr>
            </m:sub>
          </m:sSub>
          <m:r>
            <m:rPr/>
            <w:rPr>
              <w:rFonts w:ascii="Cambria Math" w:hAnsi="Cambria Math"/>
            </w:rPr>
            <m:t>=P.</m:t>
          </m:r>
        </m:oMath>
      </m:oMathPara>
    </w:p>
    <w:p w14:paraId="2FB10F77">
      <w:pPr>
        <w:rPr>
          <w:b/>
          <w:bCs/>
        </w:rPr>
      </w:pPr>
      <w:r>
        <w:rPr>
          <w:b/>
          <w:bCs/>
        </w:rPr>
        <w:t xml:space="preserve">Verify that you can make the planets go into retrograde motion in the same constellations as in Questions 1, 2. </w:t>
      </w:r>
    </w:p>
    <w:p w14:paraId="29223A7A">
      <w:pPr>
        <w:rPr>
          <w:rFonts w:hint="default" w:ascii="Times New Roman" w:hAnsi="Times New Roman" w:cs="Times New Roman"/>
          <w:b w:val="0"/>
          <w:bCs w:val="0"/>
        </w:rPr>
      </w:pPr>
    </w:p>
    <w:p w14:paraId="57F105E1">
      <w:pPr>
        <w:pStyle w:val="2"/>
      </w:pPr>
      <w:r>
        <w:t>Discussion</w:t>
      </w:r>
    </w:p>
    <w:p w14:paraId="48BB98B9">
      <w:r>
        <w:t xml:space="preserve">These applets are only approximately accurate.  In these applets, the planets travel at uniform speed with perfectly circular motion.  In order to increase the accuracy, one would need to add additional complications to capture the planets’ variations in speed.  In doing so, both Ptolemy’s and Copernicus’ system became hopelessly complicated. </w:t>
      </w:r>
    </w:p>
    <w:p w14:paraId="013148BB">
      <w:pPr>
        <w:rPr>
          <w:b/>
          <w:bCs/>
        </w:rPr>
      </w:pPr>
      <w:r>
        <w:rPr>
          <w:b/>
          <w:bCs/>
        </w:rPr>
        <w:t>However, at this most basic level, which do you think is simpler and why?</w:t>
      </w:r>
    </w:p>
    <w:p w14:paraId="7651338B">
      <w:pPr>
        <w:rPr>
          <w:rFonts w:hint="default"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The heliocentric model is simpler because it do not require the add additional epicycles.</w:t>
      </w:r>
    </w:p>
    <w:p w14:paraId="5DFBFA42">
      <w:pPr>
        <w:rPr>
          <w:b/>
          <w:bCs/>
        </w:rPr>
      </w:pPr>
      <w:r>
        <w:rPr>
          <w:b/>
          <w:bCs/>
        </w:rPr>
        <w:t xml:space="preserve">In the geocentric version, you cannot adjust the deferent period for inferior planets, nor can you adjust the epicycle period for superior planets. Why not? </w:t>
      </w:r>
    </w:p>
    <w:p w14:paraId="55D724B7">
      <w:pPr>
        <w:rPr>
          <w:rFonts w:hint="default"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If so, the time of the retrograde motion of the superior planets and the limited elongation of inferior planets are not true anymore.</w:t>
      </w:r>
    </w:p>
    <w:p w14:paraId="400F92BA">
      <w:pPr>
        <w:rPr>
          <w:b/>
          <w:bCs/>
        </w:rPr>
      </w:pPr>
    </w:p>
    <w:p w14:paraId="3CD76B06">
      <w:pPr>
        <w:rPr>
          <w:b/>
          <w:bCs/>
        </w:rPr>
      </w:pPr>
      <w:r>
        <w:rPr>
          <w:b/>
          <w:bCs/>
        </w:rPr>
        <w:t xml:space="preserve">Why can the planets be reordered according to taste in the geocentric version? </w:t>
      </w:r>
    </w:p>
    <w:p w14:paraId="45D11577">
      <w:pPr>
        <w:rPr>
          <w:rFonts w:hint="default" w:ascii="Times New Roman" w:hAnsi="Times New Roman" w:cs="Times New Roman"/>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MingLiU">
    <w:altName w:val="宋体"/>
    <w:panose1 w:val="00000000000000000000"/>
    <w:charset w:val="86"/>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36D12C13"/>
    <w:multiLevelType w:val="multilevel"/>
    <w:tmpl w:val="36D12C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225"/>
    <w:rsid w:val="00036384"/>
    <w:rsid w:val="00090225"/>
    <w:rsid w:val="000D57F7"/>
    <w:rsid w:val="00244DB2"/>
    <w:rsid w:val="00283C35"/>
    <w:rsid w:val="002C64D9"/>
    <w:rsid w:val="00301D8A"/>
    <w:rsid w:val="004038F2"/>
    <w:rsid w:val="00472E43"/>
    <w:rsid w:val="004D504B"/>
    <w:rsid w:val="004D63FF"/>
    <w:rsid w:val="004F09DB"/>
    <w:rsid w:val="005153C6"/>
    <w:rsid w:val="006948F9"/>
    <w:rsid w:val="00746194"/>
    <w:rsid w:val="007B71E6"/>
    <w:rsid w:val="00892B7E"/>
    <w:rsid w:val="00917C68"/>
    <w:rsid w:val="00924E63"/>
    <w:rsid w:val="00A947FD"/>
    <w:rsid w:val="00AD558E"/>
    <w:rsid w:val="00AD73BA"/>
    <w:rsid w:val="00B5776B"/>
    <w:rsid w:val="00C05596"/>
    <w:rsid w:val="00C766D0"/>
    <w:rsid w:val="00C922CA"/>
    <w:rsid w:val="00CE5046"/>
    <w:rsid w:val="00D33E09"/>
    <w:rsid w:val="00E32399"/>
    <w:rsid w:val="00F720B4"/>
    <w:rsid w:val="0A0B0E87"/>
    <w:rsid w:val="55E8668A"/>
    <w:rsid w:val="74920FD0"/>
  </w:rsids>
  <m:mathPr>
    <m:mathFont m:val="Cambria Math"/>
    <m:brkBin m:val="before"/>
    <m:brkBinSub m:val="--"/>
    <m:smallFrac m:val="0"/>
    <m:dispDef/>
    <m:lMargin m:val="0"/>
    <m:rMargin m:val="0"/>
    <m:defJc m:val="centerGroup"/>
    <m:wrapIndent m:val="1440"/>
    <m:intLim m:val="subSup"/>
    <m:naryLim m:val="undOvr"/>
  </m:mathPr>
  <w:themeFontLang w:val="zh-CN" w:eastAsia="zh-TW"/>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zh-CN" w:eastAsia="zh-TW" w:bidi="ar-SA"/>
    </w:rPr>
  </w:style>
  <w:style w:type="paragraph" w:styleId="2">
    <w:name w:val="heading 1"/>
    <w:basedOn w:val="1"/>
    <w:next w:val="1"/>
    <w:link w:val="18"/>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19"/>
    <w:semiHidden/>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0"/>
    <w:semiHidden/>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1"/>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22"/>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0B1E31" w:themeColor="text2" w:themeShade="BF"/>
    </w:rPr>
  </w:style>
  <w:style w:type="paragraph" w:styleId="7">
    <w:name w:val="heading 6"/>
    <w:basedOn w:val="1"/>
    <w:next w:val="1"/>
    <w:link w:val="23"/>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0B1E31" w:themeColor="text2" w:themeShade="BF"/>
    </w:rPr>
  </w:style>
  <w:style w:type="paragraph" w:styleId="8">
    <w:name w:val="heading 7"/>
    <w:basedOn w:val="1"/>
    <w:next w:val="1"/>
    <w:link w:val="24"/>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25"/>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26"/>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2">
    <w:name w:val="Subtitle"/>
    <w:basedOn w:val="1"/>
    <w:next w:val="1"/>
    <w:link w:val="28"/>
    <w:qFormat/>
    <w:uiPriority w:val="11"/>
    <w:rPr>
      <w:color w:val="595959" w:themeColor="text1" w:themeTint="A6"/>
      <w:spacing w:val="10"/>
      <w14:textFill>
        <w14:solidFill>
          <w14:schemeClr w14:val="tx1">
            <w14:lumMod w14:val="65000"/>
            <w14:lumOff w14:val="35000"/>
          </w14:schemeClr>
        </w14:solidFill>
      </w14:textFill>
    </w:rPr>
  </w:style>
  <w:style w:type="paragraph" w:styleId="13">
    <w:name w:val="Title"/>
    <w:basedOn w:val="1"/>
    <w:next w:val="1"/>
    <w:link w:val="27"/>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character" w:styleId="16">
    <w:name w:val="Strong"/>
    <w:basedOn w:val="15"/>
    <w:qFormat/>
    <w:uiPriority w:val="22"/>
    <w:rPr>
      <w:b/>
      <w:bCs/>
      <w:color w:val="000000" w:themeColor="text1"/>
      <w14:textFill>
        <w14:solidFill>
          <w14:schemeClr w14:val="tx1"/>
        </w14:solidFill>
      </w14:textFill>
    </w:rPr>
  </w:style>
  <w:style w:type="character" w:styleId="17">
    <w:name w:val="Emphasis"/>
    <w:basedOn w:val="15"/>
    <w:qFormat/>
    <w:uiPriority w:val="20"/>
    <w:rPr>
      <w:i/>
      <w:iCs/>
      <w:color w:val="auto"/>
    </w:rPr>
  </w:style>
  <w:style w:type="character" w:customStyle="1" w:styleId="18">
    <w:name w:val="Heading 1 Char"/>
    <w:basedOn w:val="15"/>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19">
    <w:name w:val="Heading 2 Char"/>
    <w:basedOn w:val="15"/>
    <w:link w:val="3"/>
    <w:semiHidden/>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0">
    <w:name w:val="Heading 3 Char"/>
    <w:basedOn w:val="15"/>
    <w:link w:val="4"/>
    <w:semiHidden/>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21">
    <w:name w:val="Heading 4 Char"/>
    <w:basedOn w:val="15"/>
    <w:link w:val="5"/>
    <w:semiHidden/>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22">
    <w:name w:val="Heading 5 Char"/>
    <w:basedOn w:val="15"/>
    <w:link w:val="6"/>
    <w:semiHidden/>
    <w:uiPriority w:val="9"/>
    <w:rPr>
      <w:rFonts w:asciiTheme="majorHAnsi" w:hAnsiTheme="majorHAnsi" w:eastAsiaTheme="majorEastAsia" w:cstheme="majorBidi"/>
      <w:color w:val="0B1E31" w:themeColor="text2" w:themeShade="BF"/>
    </w:rPr>
  </w:style>
  <w:style w:type="character" w:customStyle="1" w:styleId="23">
    <w:name w:val="Heading 6 Char"/>
    <w:basedOn w:val="15"/>
    <w:link w:val="7"/>
    <w:semiHidden/>
    <w:qFormat/>
    <w:uiPriority w:val="9"/>
    <w:rPr>
      <w:rFonts w:asciiTheme="majorHAnsi" w:hAnsiTheme="majorHAnsi" w:eastAsiaTheme="majorEastAsia" w:cstheme="majorBidi"/>
      <w:i/>
      <w:iCs/>
      <w:color w:val="0B1E31" w:themeColor="text2" w:themeShade="BF"/>
    </w:rPr>
  </w:style>
  <w:style w:type="character" w:customStyle="1" w:styleId="24">
    <w:name w:val="Heading 7 Char"/>
    <w:basedOn w:val="15"/>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5">
    <w:name w:val="Heading 8 Char"/>
    <w:basedOn w:val="15"/>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26">
    <w:name w:val="Heading 9 Char"/>
    <w:basedOn w:val="1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27">
    <w:name w:val="Title Char"/>
    <w:basedOn w:val="15"/>
    <w:link w:val="13"/>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28">
    <w:name w:val="Subtitle Char"/>
    <w:basedOn w:val="15"/>
    <w:link w:val="12"/>
    <w:uiPriority w:val="11"/>
    <w:rPr>
      <w:color w:val="595959" w:themeColor="text1" w:themeTint="A6"/>
      <w:spacing w:val="10"/>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ind w:left="720" w:right="720"/>
    </w:pPr>
    <w:rPr>
      <w:i/>
      <w:iCs/>
      <w:color w:val="000000" w:themeColor="text1"/>
      <w14:textFill>
        <w14:solidFill>
          <w14:schemeClr w14:val="tx1"/>
        </w14:solidFill>
      </w14:textFill>
    </w:rPr>
  </w:style>
  <w:style w:type="character" w:customStyle="1" w:styleId="30">
    <w:name w:val="Quote Char"/>
    <w:basedOn w:val="15"/>
    <w:link w:val="29"/>
    <w:uiPriority w:val="29"/>
    <w:rPr>
      <w:i/>
      <w:iCs/>
      <w:color w:val="000000" w:themeColor="text1"/>
      <w14:textFill>
        <w14:solidFill>
          <w14:schemeClr w14:val="tx1"/>
        </w14:solidFill>
      </w14:textFill>
    </w:rPr>
  </w:style>
  <w:style w:type="paragraph" w:styleId="31">
    <w:name w:val="List Paragraph"/>
    <w:basedOn w:val="1"/>
    <w:qFormat/>
    <w:uiPriority w:val="34"/>
    <w:pPr>
      <w:ind w:left="720"/>
      <w:contextualSpacing/>
    </w:pPr>
  </w:style>
  <w:style w:type="character" w:customStyle="1" w:styleId="32">
    <w:name w:val="Intense Emphasis"/>
    <w:basedOn w:val="15"/>
    <w:qFormat/>
    <w:uiPriority w:val="21"/>
    <w:rPr>
      <w:b/>
      <w:bCs/>
      <w:i/>
      <w:iCs/>
      <w:caps/>
    </w:rPr>
  </w:style>
  <w:style w:type="paragraph" w:styleId="33">
    <w:name w:val="Intense Quote"/>
    <w:basedOn w:val="1"/>
    <w:next w:val="1"/>
    <w:link w:val="34"/>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34">
    <w:name w:val="Intense Quote Char"/>
    <w:basedOn w:val="15"/>
    <w:link w:val="33"/>
    <w:uiPriority w:val="30"/>
    <w:rPr>
      <w:color w:val="000000" w:themeColor="text1"/>
      <w:shd w:val="clear" w:color="auto" w:fill="F1F1F1" w:themeFill="background1" w:themeFillShade="F2"/>
      <w14:textFill>
        <w14:solidFill>
          <w14:schemeClr w14:val="tx1"/>
        </w14:solidFill>
      </w14:textFill>
    </w:rPr>
  </w:style>
  <w:style w:type="character" w:customStyle="1" w:styleId="35">
    <w:name w:val="Intense Reference"/>
    <w:basedOn w:val="15"/>
    <w:qFormat/>
    <w:uiPriority w:val="32"/>
    <w:rPr>
      <w:b/>
      <w:bCs/>
      <w:smallCaps/>
      <w:u w:val="single"/>
    </w:rPr>
  </w:style>
  <w:style w:type="character" w:styleId="36">
    <w:name w:val="Placeholder Text"/>
    <w:basedOn w:val="15"/>
    <w:semiHidden/>
    <w:uiPriority w:val="99"/>
    <w:rPr>
      <w:color w:val="666666"/>
    </w:rPr>
  </w:style>
  <w:style w:type="paragraph" w:styleId="37">
    <w:name w:val="No Spacing"/>
    <w:qFormat/>
    <w:uiPriority w:val="1"/>
    <w:pPr>
      <w:spacing w:after="0" w:line="240" w:lineRule="auto"/>
    </w:pPr>
    <w:rPr>
      <w:rFonts w:asciiTheme="minorHAnsi" w:hAnsiTheme="minorHAnsi" w:eastAsiaTheme="minorEastAsia" w:cstheme="minorBidi"/>
      <w:sz w:val="22"/>
      <w:szCs w:val="22"/>
      <w:lang w:val="zh-CN" w:eastAsia="zh-TW" w:bidi="ar-SA"/>
    </w:rPr>
  </w:style>
  <w:style w:type="character" w:customStyle="1" w:styleId="38">
    <w:name w:val="Subtle Emphasis"/>
    <w:basedOn w:val="15"/>
    <w:qFormat/>
    <w:uiPriority w:val="19"/>
    <w:rPr>
      <w:i/>
      <w:iCs/>
      <w:color w:val="404040" w:themeColor="text1" w:themeTint="BF"/>
      <w14:textFill>
        <w14:solidFill>
          <w14:schemeClr w14:val="tx1">
            <w14:lumMod w14:val="75000"/>
            <w14:lumOff w14:val="25000"/>
          </w14:schemeClr>
        </w14:solidFill>
      </w14:textFill>
    </w:rPr>
  </w:style>
  <w:style w:type="character" w:customStyle="1" w:styleId="39">
    <w:name w:val="Subtle Reference"/>
    <w:basedOn w:val="15"/>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0">
    <w:name w:val="Book Title"/>
    <w:basedOn w:val="15"/>
    <w:qFormat/>
    <w:uiPriority w:val="33"/>
    <w:rPr>
      <w:smallCaps/>
      <w:spacing w:val="5"/>
    </w:rPr>
  </w:style>
  <w:style w:type="paragraph" w:customStyle="1" w:styleId="41">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281</Words>
  <Characters>1268</Characters>
  <Lines>18</Lines>
  <Paragraphs>5</Paragraphs>
  <TotalTime>3025</TotalTime>
  <ScaleCrop>false</ScaleCrop>
  <LinksUpToDate>false</LinksUpToDate>
  <CharactersWithSpaces>1511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2024-04-07T07:33:00Z</dcterms:created>
  <dc:creator>Tim Wotherspoon</dc:creator>
  <cp:lastModifiedBy>Happy</cp:lastModifiedBy>
  <dcterms:modified xsi:type="dcterms:W3CDTF">2026-04-16T07:46:53Z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D1A7C2A07D6B45428DB8C10BEC887AD5_13</vt:lpwstr>
  </property>
  <property fmtid="{D5CDD505-2E9C-101B-9397-08002B2CF9AE}" pid="4" name="KSOTemplateDocerSaveRecord">
    <vt:lpwstr>eyJoZGlkIjoiYTc0ZTg4OTQ2MWYyYTM5NWE1NjRmODRjZTEzMWViZmIiLCJ1c2VySWQiOiI5NTk4OTYzNTUifQ==</vt:lpwstr>
  </property>
</Properties>
</file>