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D65A" w14:textId="77777777" w:rsidR="00CE2E07" w:rsidRDefault="00962871">
      <w:pPr>
        <w:pStyle w:val="Title"/>
      </w:pPr>
      <w:r>
        <w:t>PRELIMINARY DATA: Real-time SRWC Redd Dewatering Estimates</w:t>
      </w:r>
    </w:p>
    <w:p w14:paraId="777CD65B" w14:textId="77777777" w:rsidR="00CE2E07" w:rsidRDefault="00962871">
      <w:pPr>
        <w:pStyle w:val="Author"/>
      </w:pPr>
      <w:r>
        <w:t>BDO Science Division</w:t>
      </w:r>
    </w:p>
    <w:p w14:paraId="777CD65C" w14:textId="77777777" w:rsidR="00CE2E07" w:rsidRDefault="00962871">
      <w:pPr>
        <w:pStyle w:val="Date"/>
      </w:pPr>
      <w:r>
        <w:t>20 September, 2022</w:t>
      </w:r>
    </w:p>
    <w:p w14:paraId="777CD65D" w14:textId="77777777" w:rsidR="00CE2E07" w:rsidRDefault="00962871">
      <w:pPr>
        <w:pStyle w:val="FirstParagraph"/>
      </w:pPr>
      <w:r>
        <w:t>This script constructs real-time winter-run redd dewatering estimates based on data from</w:t>
      </w:r>
    </w:p>
    <w:p w14:paraId="777CD65E" w14:textId="77777777" w:rsidR="00CE2E07" w:rsidRDefault="00962871">
      <w:pPr>
        <w:pStyle w:val="BodyText"/>
      </w:pPr>
      <w:r>
        <w:t>This script constructs real-time winter-run redd dewatering estimates based on most recent data available from CDFW (September 12, 2022). Data are also available in th</w:t>
      </w:r>
      <w:r>
        <w:t xml:space="preserve">e YYYY Winter-run Data file.xls online at </w:t>
      </w:r>
      <w:hyperlink r:id="rId7">
        <w:r>
          <w:rPr>
            <w:rStyle w:val="Hyperlink"/>
          </w:rPr>
          <w:t>calfish.org</w:t>
        </w:r>
      </w:hyperlink>
      <w:r>
        <w:t>, but these may not reflect the most recent updates.</w:t>
      </w:r>
    </w:p>
    <w:p w14:paraId="777CD65F" w14:textId="77777777" w:rsidR="00CE2E07" w:rsidRDefault="00962871">
      <w:pPr>
        <w:pStyle w:val="BodyText"/>
      </w:pPr>
      <w:r>
        <w:t>Please note that all data are preliminary until data collection is finalized. Likewise, there are uncertainties with forecasts which ma</w:t>
      </w:r>
      <w:r>
        <w:t>y lead to changes in proposed operations.</w:t>
      </w:r>
    </w:p>
    <w:p w14:paraId="777CD663" w14:textId="77777777" w:rsidR="00CE2E07" w:rsidRDefault="00962871">
      <w:pPr>
        <w:pStyle w:val="Heading1"/>
      </w:pPr>
      <w:bookmarkStart w:id="0" w:name="current-redd-count"/>
      <w:r>
        <w:t>Current Redd Count</w:t>
      </w:r>
    </w:p>
    <w:p w14:paraId="777CD664" w14:textId="77777777" w:rsidR="00CE2E07" w:rsidRDefault="00962871">
      <w:pPr>
        <w:pStyle w:val="FirstParagraph"/>
      </w:pPr>
      <w:r>
        <w:t xml:space="preserve">As of September 8, 2022, the unexpanded redd count is </w:t>
      </w:r>
      <w:r>
        <w:rPr>
          <w:b/>
          <w:bCs/>
        </w:rPr>
        <w:t>1055</w:t>
      </w:r>
      <w:r>
        <w:t xml:space="preserve"> Winter-run redds.It is important to note that until data collection is completed for the year thi</w:t>
      </w:r>
      <w:r>
        <w:t xml:space="preserve">s is the </w:t>
      </w:r>
      <w:r>
        <w:rPr>
          <w:b/>
          <w:bCs/>
        </w:rPr>
        <w:t>minimum</w:t>
      </w:r>
      <w:r>
        <w:t xml:space="preserve"> number of possible redds. This number will always expand upon final analysis but gives an in-season guard rail of the minimum number of redds this year. From 2018-2021, female expansion has ranged from 0.31 to 1.31 with a 0.7 average, thus</w:t>
      </w:r>
      <w:r>
        <w:t xml:space="preserve"> we may expect the final number of redds to be closer to 1794 redds using average expansion on data this year, and using this value, 17.94 redds dewatered would be at the 1% take level.</w:t>
      </w:r>
    </w:p>
    <w:p w14:paraId="777CD665" w14:textId="77777777" w:rsidR="00CE2E07" w:rsidRDefault="00962871">
      <w:pPr>
        <w:pStyle w:val="BodyText"/>
      </w:pPr>
      <w:r>
        <w:t xml:space="preserve">As of September 12, 2022, </w:t>
      </w:r>
      <w:r>
        <w:rPr>
          <w:b/>
          <w:bCs/>
        </w:rPr>
        <w:t>15</w:t>
      </w:r>
      <w:r>
        <w:t xml:space="preserve"> Winter-run redds have </w:t>
      </w:r>
      <w:r>
        <w:rPr>
          <w:b/>
          <w:bCs/>
        </w:rPr>
        <w:t>emerged</w:t>
      </w:r>
      <w:r>
        <w:t xml:space="preserve"> and </w:t>
      </w:r>
      <w:r>
        <w:rPr>
          <w:b/>
          <w:bCs/>
        </w:rPr>
        <w:t>3</w:t>
      </w:r>
      <w:r>
        <w:t xml:space="preserve"> have </w:t>
      </w:r>
      <w:r>
        <w:t xml:space="preserve">been </w:t>
      </w:r>
      <w:r>
        <w:rPr>
          <w:b/>
          <w:bCs/>
        </w:rPr>
        <w:t>dewatered</w:t>
      </w:r>
      <w:r>
        <w:t xml:space="preserve">. This leaves </w:t>
      </w:r>
      <w:r>
        <w:rPr>
          <w:b/>
          <w:bCs/>
        </w:rPr>
        <w:t>34</w:t>
      </w:r>
      <w:r>
        <w:t xml:space="preserve"> shallow water redds of concern.</w:t>
      </w:r>
    </w:p>
    <w:p w14:paraId="777CD666" w14:textId="77777777" w:rsidR="00CE2E07" w:rsidRDefault="00962871">
      <w:pPr>
        <w:pStyle w:val="BodyText"/>
      </w:pPr>
      <w:r>
        <w:t>In addition, 79 wild adult WRCS were removed to the hatchery as part of conservation actions.</w:t>
      </w:r>
    </w:p>
    <w:p w14:paraId="777CD667" w14:textId="77777777" w:rsidR="00CE2E07" w:rsidRDefault="00962871">
      <w:pPr>
        <w:pStyle w:val="Heading1"/>
      </w:pPr>
      <w:bookmarkStart w:id="1" w:name="table"/>
      <w:bookmarkEnd w:id="0"/>
      <w:r>
        <w:t>Table</w:t>
      </w:r>
    </w:p>
    <w:p w14:paraId="777CD668" w14:textId="77777777" w:rsidR="00CE2E07" w:rsidRDefault="00962871">
      <w:pPr>
        <w:pStyle w:val="FirstParagraph"/>
      </w:pPr>
      <w:r>
        <w:rPr>
          <w:b/>
          <w:bCs/>
        </w:rPr>
        <w:t>Table 1.</w:t>
      </w:r>
      <w:r>
        <w:t xml:space="preserve"> Average September Keswick (KES) Flow, monthly flows for September and October (in cf</w:t>
      </w:r>
      <w:r>
        <w:t>s), total Sept-Oct volume (in TAF), estimated numbers of SRWC redds dewatered, and percent of population that would be lost under each of the proposed alternatives. KES Flow data uses actual flow-to-date as of 2022-09-11 and proposed flows for the remainde</w:t>
      </w:r>
      <w:r>
        <w:t>r of the incubation period. Redd dewatering is considered at the actual or estimated dewatering flow and with a 100 cfs buffer applied to the actual/estimated dewatering flow. Percentage of the population lost is based on the September 8, 2022 count of 105</w:t>
      </w:r>
      <w:r>
        <w:t>5 Winter-run redds and updated redd counts may be available soon.</w:t>
      </w:r>
    </w:p>
    <w:tbl>
      <w:tblPr>
        <w:tblStyle w:val="Table"/>
        <w:tblW w:w="0" w:type="auto"/>
        <w:tblLook w:val="0020" w:firstRow="1" w:lastRow="0" w:firstColumn="0" w:lastColumn="0" w:noHBand="0" w:noVBand="0"/>
      </w:tblPr>
      <w:tblGrid>
        <w:gridCol w:w="3957"/>
        <w:gridCol w:w="748"/>
        <w:gridCol w:w="748"/>
      </w:tblGrid>
      <w:tr w:rsidR="00CE2E07" w14:paraId="777CD66C" w14:textId="77777777" w:rsidTr="00CE2E07">
        <w:trPr>
          <w:cnfStyle w:val="100000000000" w:firstRow="1" w:lastRow="0" w:firstColumn="0" w:lastColumn="0" w:oddVBand="0" w:evenVBand="0" w:oddHBand="0" w:evenHBand="0" w:firstRowFirstColumn="0" w:firstRowLastColumn="0" w:lastRowFirstColumn="0" w:lastRowLastColumn="0"/>
          <w:tblHeader/>
        </w:trPr>
        <w:tc>
          <w:tcPr>
            <w:tcW w:w="0" w:type="auto"/>
          </w:tcPr>
          <w:p w14:paraId="777CD669" w14:textId="77777777" w:rsidR="00CE2E07" w:rsidRDefault="00962871">
            <w:pPr>
              <w:pStyle w:val="Compact"/>
            </w:pPr>
            <w:r>
              <w:lastRenderedPageBreak/>
              <w:t>Metric</w:t>
            </w:r>
          </w:p>
        </w:tc>
        <w:tc>
          <w:tcPr>
            <w:tcW w:w="0" w:type="auto"/>
          </w:tcPr>
          <w:p w14:paraId="777CD66A" w14:textId="77777777" w:rsidR="00CE2E07" w:rsidRDefault="00962871">
            <w:pPr>
              <w:pStyle w:val="Compact"/>
            </w:pPr>
            <w:r>
              <w:t>Alt6</w:t>
            </w:r>
          </w:p>
        </w:tc>
        <w:tc>
          <w:tcPr>
            <w:tcW w:w="0" w:type="auto"/>
          </w:tcPr>
          <w:p w14:paraId="777CD66B" w14:textId="77777777" w:rsidR="00CE2E07" w:rsidRDefault="00962871">
            <w:pPr>
              <w:pStyle w:val="Compact"/>
            </w:pPr>
            <w:r>
              <w:t>Alt7</w:t>
            </w:r>
          </w:p>
        </w:tc>
      </w:tr>
      <w:tr w:rsidR="00CE2E07" w14:paraId="777CD670" w14:textId="77777777">
        <w:tc>
          <w:tcPr>
            <w:tcW w:w="0" w:type="auto"/>
          </w:tcPr>
          <w:p w14:paraId="777CD66D" w14:textId="77777777" w:rsidR="00CE2E07" w:rsidRDefault="00962871">
            <w:pPr>
              <w:pStyle w:val="Compact"/>
            </w:pPr>
            <w:r>
              <w:t>Avg Sept Flow (cfs)</w:t>
            </w:r>
          </w:p>
        </w:tc>
        <w:tc>
          <w:tcPr>
            <w:tcW w:w="0" w:type="auto"/>
          </w:tcPr>
          <w:p w14:paraId="777CD66E" w14:textId="77777777" w:rsidR="00CE2E07" w:rsidRDefault="00962871">
            <w:pPr>
              <w:pStyle w:val="Compact"/>
            </w:pPr>
            <w:r>
              <w:t>4000</w:t>
            </w:r>
          </w:p>
        </w:tc>
        <w:tc>
          <w:tcPr>
            <w:tcW w:w="0" w:type="auto"/>
          </w:tcPr>
          <w:p w14:paraId="777CD66F" w14:textId="77777777" w:rsidR="00CE2E07" w:rsidRDefault="00962871">
            <w:pPr>
              <w:pStyle w:val="Compact"/>
            </w:pPr>
            <w:r>
              <w:t>4150</w:t>
            </w:r>
          </w:p>
        </w:tc>
      </w:tr>
      <w:tr w:rsidR="00CE2E07" w14:paraId="777CD674" w14:textId="77777777">
        <w:tc>
          <w:tcPr>
            <w:tcW w:w="0" w:type="auto"/>
          </w:tcPr>
          <w:p w14:paraId="777CD671" w14:textId="77777777" w:rsidR="00CE2E07" w:rsidRDefault="00962871">
            <w:pPr>
              <w:pStyle w:val="Compact"/>
            </w:pPr>
            <w:r>
              <w:t>Avg Oct Flow (cfs)</w:t>
            </w:r>
          </w:p>
        </w:tc>
        <w:tc>
          <w:tcPr>
            <w:tcW w:w="0" w:type="auto"/>
          </w:tcPr>
          <w:p w14:paraId="777CD672" w14:textId="77777777" w:rsidR="00CE2E07" w:rsidRDefault="00962871">
            <w:pPr>
              <w:pStyle w:val="Compact"/>
            </w:pPr>
            <w:r>
              <w:t>3315</w:t>
            </w:r>
          </w:p>
        </w:tc>
        <w:tc>
          <w:tcPr>
            <w:tcW w:w="0" w:type="auto"/>
          </w:tcPr>
          <w:p w14:paraId="777CD673" w14:textId="77777777" w:rsidR="00CE2E07" w:rsidRDefault="00962871">
            <w:pPr>
              <w:pStyle w:val="Compact"/>
            </w:pPr>
            <w:r>
              <w:t>3779</w:t>
            </w:r>
          </w:p>
        </w:tc>
      </w:tr>
      <w:tr w:rsidR="00CE2E07" w14:paraId="777CD678" w14:textId="77777777">
        <w:tc>
          <w:tcPr>
            <w:tcW w:w="0" w:type="auto"/>
          </w:tcPr>
          <w:p w14:paraId="777CD675" w14:textId="77777777" w:rsidR="00CE2E07" w:rsidRDefault="00962871">
            <w:pPr>
              <w:pStyle w:val="Compact"/>
            </w:pPr>
            <w:r>
              <w:t>Total Sept-Oct Flow (TAF)</w:t>
            </w:r>
          </w:p>
        </w:tc>
        <w:tc>
          <w:tcPr>
            <w:tcW w:w="0" w:type="auto"/>
          </w:tcPr>
          <w:p w14:paraId="777CD676" w14:textId="77777777" w:rsidR="00CE2E07" w:rsidRDefault="00962871">
            <w:pPr>
              <w:pStyle w:val="Compact"/>
            </w:pPr>
            <w:r>
              <w:t>442</w:t>
            </w:r>
          </w:p>
        </w:tc>
        <w:tc>
          <w:tcPr>
            <w:tcW w:w="0" w:type="auto"/>
          </w:tcPr>
          <w:p w14:paraId="777CD677" w14:textId="77777777" w:rsidR="00CE2E07" w:rsidRDefault="00962871">
            <w:pPr>
              <w:pStyle w:val="Compact"/>
            </w:pPr>
            <w:r>
              <w:t>479</w:t>
            </w:r>
          </w:p>
        </w:tc>
      </w:tr>
      <w:tr w:rsidR="00CE2E07" w14:paraId="777CD67C" w14:textId="77777777">
        <w:tc>
          <w:tcPr>
            <w:tcW w:w="0" w:type="auto"/>
          </w:tcPr>
          <w:p w14:paraId="777CD679" w14:textId="77777777" w:rsidR="00CE2E07" w:rsidRDefault="00962871">
            <w:pPr>
              <w:pStyle w:val="Compact"/>
            </w:pPr>
            <w:r>
              <w:t>Redds dewatered</w:t>
            </w:r>
          </w:p>
        </w:tc>
        <w:tc>
          <w:tcPr>
            <w:tcW w:w="0" w:type="auto"/>
          </w:tcPr>
          <w:p w14:paraId="777CD67A" w14:textId="77777777" w:rsidR="00CE2E07" w:rsidRDefault="00962871">
            <w:pPr>
              <w:pStyle w:val="Compact"/>
            </w:pPr>
            <w:r>
              <w:t>15</w:t>
            </w:r>
          </w:p>
        </w:tc>
        <w:tc>
          <w:tcPr>
            <w:tcW w:w="0" w:type="auto"/>
          </w:tcPr>
          <w:p w14:paraId="777CD67B" w14:textId="77777777" w:rsidR="00CE2E07" w:rsidRDefault="00962871">
            <w:pPr>
              <w:pStyle w:val="Compact"/>
            </w:pPr>
            <w:r>
              <w:t>5</w:t>
            </w:r>
          </w:p>
        </w:tc>
      </w:tr>
      <w:tr w:rsidR="00CE2E07" w14:paraId="777CD680" w14:textId="77777777">
        <w:tc>
          <w:tcPr>
            <w:tcW w:w="0" w:type="auto"/>
          </w:tcPr>
          <w:p w14:paraId="777CD67D" w14:textId="77777777" w:rsidR="00CE2E07" w:rsidRDefault="00962871">
            <w:pPr>
              <w:pStyle w:val="Compact"/>
            </w:pPr>
            <w:r>
              <w:t>Percent Lost</w:t>
            </w:r>
          </w:p>
        </w:tc>
        <w:tc>
          <w:tcPr>
            <w:tcW w:w="0" w:type="auto"/>
          </w:tcPr>
          <w:p w14:paraId="777CD67E" w14:textId="77777777" w:rsidR="00CE2E07" w:rsidRDefault="00962871">
            <w:pPr>
              <w:pStyle w:val="Compact"/>
            </w:pPr>
            <w:r>
              <w:t>1.4</w:t>
            </w:r>
          </w:p>
        </w:tc>
        <w:tc>
          <w:tcPr>
            <w:tcW w:w="0" w:type="auto"/>
          </w:tcPr>
          <w:p w14:paraId="777CD67F" w14:textId="77777777" w:rsidR="00CE2E07" w:rsidRDefault="00962871">
            <w:pPr>
              <w:pStyle w:val="Compact"/>
            </w:pPr>
            <w:r>
              <w:t>0.5</w:t>
            </w:r>
          </w:p>
        </w:tc>
      </w:tr>
      <w:tr w:rsidR="00CE2E07" w14:paraId="777CD684" w14:textId="77777777">
        <w:tc>
          <w:tcPr>
            <w:tcW w:w="0" w:type="auto"/>
          </w:tcPr>
          <w:p w14:paraId="777CD681" w14:textId="77777777" w:rsidR="00CE2E07" w:rsidRDefault="00962871">
            <w:pPr>
              <w:pStyle w:val="Compact"/>
            </w:pPr>
            <w:r>
              <w:t>Redds dewatered (w/ 100cfs buffer)</w:t>
            </w:r>
          </w:p>
        </w:tc>
        <w:tc>
          <w:tcPr>
            <w:tcW w:w="0" w:type="auto"/>
          </w:tcPr>
          <w:p w14:paraId="777CD682" w14:textId="77777777" w:rsidR="00CE2E07" w:rsidRDefault="00962871">
            <w:pPr>
              <w:pStyle w:val="Compact"/>
            </w:pPr>
            <w:r>
              <w:t>15</w:t>
            </w:r>
          </w:p>
        </w:tc>
        <w:tc>
          <w:tcPr>
            <w:tcW w:w="0" w:type="auto"/>
          </w:tcPr>
          <w:p w14:paraId="777CD683" w14:textId="77777777" w:rsidR="00CE2E07" w:rsidRDefault="00962871">
            <w:pPr>
              <w:pStyle w:val="Compact"/>
            </w:pPr>
            <w:r>
              <w:t>6</w:t>
            </w:r>
          </w:p>
        </w:tc>
      </w:tr>
      <w:tr w:rsidR="00CE2E07" w14:paraId="777CD688" w14:textId="77777777">
        <w:tc>
          <w:tcPr>
            <w:tcW w:w="0" w:type="auto"/>
          </w:tcPr>
          <w:p w14:paraId="777CD685" w14:textId="77777777" w:rsidR="00CE2E07" w:rsidRDefault="00962871">
            <w:pPr>
              <w:pStyle w:val="Compact"/>
            </w:pPr>
            <w:r>
              <w:t>Percent Lost (w/ 100cfs buffer)</w:t>
            </w:r>
          </w:p>
        </w:tc>
        <w:tc>
          <w:tcPr>
            <w:tcW w:w="0" w:type="auto"/>
          </w:tcPr>
          <w:p w14:paraId="777CD686" w14:textId="77777777" w:rsidR="00CE2E07" w:rsidRDefault="00962871">
            <w:pPr>
              <w:pStyle w:val="Compact"/>
            </w:pPr>
            <w:r>
              <w:t>1.4</w:t>
            </w:r>
          </w:p>
        </w:tc>
        <w:tc>
          <w:tcPr>
            <w:tcW w:w="0" w:type="auto"/>
          </w:tcPr>
          <w:p w14:paraId="777CD687" w14:textId="77777777" w:rsidR="00CE2E07" w:rsidRDefault="00962871">
            <w:pPr>
              <w:pStyle w:val="Compact"/>
            </w:pPr>
            <w:r>
              <w:t>0.6</w:t>
            </w:r>
          </w:p>
        </w:tc>
      </w:tr>
    </w:tbl>
    <w:p w14:paraId="777CD689" w14:textId="77777777" w:rsidR="00CE2E07" w:rsidRDefault="00962871">
      <w:pPr>
        <w:pStyle w:val="Heading1"/>
      </w:pPr>
      <w:bookmarkStart w:id="2" w:name="plots"/>
      <w:bookmarkEnd w:id="1"/>
      <w:r>
        <w:t>Plots</w:t>
      </w:r>
    </w:p>
    <w:p w14:paraId="777CD68B" w14:textId="6EC6D6B2" w:rsidR="00CE2E07" w:rsidRDefault="00325FAE">
      <w:pPr>
        <w:pStyle w:val="FirstParagraph"/>
      </w:pPr>
      <w:r>
        <w:rPr>
          <w:noProof/>
        </w:rPr>
        <w:drawing>
          <wp:inline distT="0" distB="0" distL="0" distR="0" wp14:anchorId="5D275F2D" wp14:editId="3DDF2788">
            <wp:extent cx="3491581" cy="2305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491581" cy="2305372"/>
                    </a:xfrm>
                    <a:prstGeom prst="rect">
                      <a:avLst/>
                    </a:prstGeom>
                  </pic:spPr>
                </pic:pic>
              </a:graphicData>
            </a:graphic>
          </wp:inline>
        </w:drawing>
      </w:r>
    </w:p>
    <w:p w14:paraId="777CD68C" w14:textId="025DA78E" w:rsidR="00CE2E07" w:rsidRDefault="00962871">
      <w:pPr>
        <w:pStyle w:val="BodyText"/>
      </w:pPr>
      <w:r>
        <w:rPr>
          <w:b/>
          <w:bCs/>
        </w:rPr>
        <w:t>Figure 1.</w:t>
      </w:r>
      <w:r>
        <w:t xml:space="preserve"> Actual or estimated emergence dates of SRWC redds and actual or estimated dewatering flow for the September-October estimated </w:t>
      </w:r>
      <w:r>
        <w:t>redd emergence dates as compared to Keswick flow (in cfs) of proposed management alternatives. Points represent emerged, dewatered, or remaining redds. Numbers inside of points indicate how many redds share that estimated emergence date and actual/estimate</w:t>
      </w:r>
      <w:r>
        <w:t>d dewatering flow. Points that fall above/to the right of a flow alternative line are expected to be dewatered given that management alternative is followed. Points that fall below/to the left of/on a flow alternative line are not expected to be dewatered,</w:t>
      </w:r>
      <w:r>
        <w:t xml:space="preserve"> given that management alternative is followed.</w:t>
      </w:r>
      <w:bookmarkEnd w:id="2"/>
    </w:p>
    <w:sectPr w:rsidR="00CE2E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35D64" w14:textId="77777777" w:rsidR="00962871" w:rsidRDefault="00962871">
      <w:pPr>
        <w:spacing w:after="0"/>
      </w:pPr>
      <w:r>
        <w:separator/>
      </w:r>
    </w:p>
  </w:endnote>
  <w:endnote w:type="continuationSeparator" w:id="0">
    <w:p w14:paraId="30BDC941" w14:textId="77777777" w:rsidR="00962871" w:rsidRDefault="009628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6541E" w14:textId="77777777" w:rsidR="00962871" w:rsidRDefault="00962871">
      <w:r>
        <w:separator/>
      </w:r>
    </w:p>
  </w:footnote>
  <w:footnote w:type="continuationSeparator" w:id="0">
    <w:p w14:paraId="001B9E4E" w14:textId="77777777" w:rsidR="00962871" w:rsidRDefault="009628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6700C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07"/>
    <w:rsid w:val="0002389C"/>
    <w:rsid w:val="000D2FA0"/>
    <w:rsid w:val="00264BB3"/>
    <w:rsid w:val="00325FAE"/>
    <w:rsid w:val="00372C2C"/>
    <w:rsid w:val="00962871"/>
    <w:rsid w:val="00CB0B8B"/>
    <w:rsid w:val="00CE2E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D65A"/>
  <w15:docId w15:val="{763F6F65-394E-4748-9204-B080918B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Real-time SRWC Redd Dewatering Estimates</dc:title>
  <dc:creator>BDO Science Division</dc:creator>
  <cp:keywords/>
  <cp:lastModifiedBy>Elliott, Lisa H</cp:lastModifiedBy>
  <cp:revision>7</cp:revision>
  <dcterms:created xsi:type="dcterms:W3CDTF">2022-09-20T15:11:00Z</dcterms:created>
  <dcterms:modified xsi:type="dcterms:W3CDTF">2022-09-20T15:18:00Z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September, 2022</vt:lpwstr>
  </property>
  <property fmtid="{D5CDD505-2E9C-101B-9397-08002B2CF9AE}" pid="3" name="output">
    <vt:lpwstr/>
  </property>
</Properties>
</file>